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B7437">
      <w:pPr>
        <w:spacing w:line="360" w:lineRule="auto"/>
        <w:ind w:firstLine="480" w:firstLineChars="200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按照园地、林地、草地分等定级和估价技术规程与标准，在曲江新区范围内开展园地、林地、草地分等定级和基准地价制定工作。通过对曲江新区园地、林地、草地分等定级和基准地价评估，进一步完善自然资源资产分等定级价格评估制度，建立政府公示价格体系，为自然资源“两统一”管理提供重要支撑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M2Y3YjgzNWU3ZDc3NGZmYWVkNzQyNTc3YTk1YjQifQ=="/>
  </w:docVars>
  <w:rsids>
    <w:rsidRoot w:val="00000000"/>
    <w:rsid w:val="0B7B0681"/>
    <w:rsid w:val="2E270EC6"/>
    <w:rsid w:val="751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2024-08-08T10:19:04Z</dcterms:created>
  <dc:creator>Lenovo</dc:creator>
  <cp:lastModifiedBy>钟声</cp:lastModifiedBy>
  <dcterms:modified xsi:type="dcterms:W3CDTF">2024-08-08T10:20:12Z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60FEC911939348A99DCB6BE488123571_12</vt:lpwstr>
  </property>
</Properties>
</file>