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FCADCF">
      <w:pPr>
        <w:numPr>
          <w:ilvl w:val="0"/>
          <w:numId w:val="0"/>
        </w:numPr>
        <w:shd w:val="clear"/>
        <w:jc w:val="center"/>
        <w:rPr>
          <w:rFonts w:hint="eastAsia" w:ascii="宋体" w:hAnsi="宋体" w:eastAsia="宋体" w:cs="宋体"/>
          <w:b/>
          <w:sz w:val="36"/>
        </w:rPr>
      </w:pPr>
      <w:r>
        <w:rPr>
          <w:rFonts w:hint="eastAsia" w:ascii="宋体" w:hAnsi="宋体" w:eastAsia="宋体" w:cs="宋体"/>
          <w:b/>
          <w:sz w:val="36"/>
        </w:rPr>
        <w:t>拟签订采购合同文本</w:t>
      </w:r>
    </w:p>
    <w:p w14:paraId="473B7682">
      <w:pPr>
        <w:numPr>
          <w:ilvl w:val="0"/>
          <w:numId w:val="0"/>
        </w:numPr>
        <w:shd w:val="clear"/>
        <w:jc w:val="center"/>
        <w:rPr>
          <w:rFonts w:hint="eastAsia" w:ascii="仿宋" w:hAnsi="仿宋" w:eastAsia="仿宋" w:cs="仿宋"/>
          <w:highlight w:val="none"/>
          <w:lang w:eastAsia="zh-CN"/>
        </w:rPr>
      </w:pPr>
      <w:r>
        <w:rPr>
          <w:rFonts w:hint="eastAsia" w:ascii="仿宋" w:hAnsi="仿宋" w:eastAsia="仿宋" w:cs="仿宋"/>
          <w:highlight w:val="none"/>
          <w:lang w:eastAsia="zh-CN"/>
        </w:rPr>
        <w:t>（</w:t>
      </w:r>
      <w:r>
        <w:rPr>
          <w:rFonts w:hint="eastAsia" w:ascii="仿宋" w:hAnsi="仿宋" w:eastAsia="仿宋" w:cs="仿宋"/>
          <w:highlight w:val="none"/>
          <w:lang w:val="en-US" w:eastAsia="zh-CN"/>
        </w:rPr>
        <w:t>本合同为中小企业预留合同</w:t>
      </w:r>
      <w:r>
        <w:rPr>
          <w:rFonts w:hint="eastAsia" w:ascii="仿宋" w:hAnsi="仿宋" w:eastAsia="仿宋" w:cs="仿宋"/>
          <w:highlight w:val="none"/>
          <w:lang w:eastAsia="zh-CN"/>
        </w:rPr>
        <w:t>）</w:t>
      </w:r>
    </w:p>
    <w:p w14:paraId="7A08F906">
      <w:pPr>
        <w:shd w:val="clear"/>
        <w:autoSpaceDE w:val="0"/>
        <w:autoSpaceDN w:val="0"/>
        <w:adjustRightInd w:val="0"/>
        <w:spacing w:line="360" w:lineRule="auto"/>
        <w:ind w:firstLine="480" w:firstLineChars="200"/>
        <w:rPr>
          <w:rFonts w:hint="default"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rPr>
        <w:t>甲方（采购人）：</w:t>
      </w:r>
      <w:r>
        <w:rPr>
          <w:rFonts w:hint="eastAsia" w:ascii="仿宋" w:hAnsi="仿宋" w:eastAsia="仿宋" w:cs="仿宋"/>
          <w:bCs/>
          <w:color w:val="auto"/>
          <w:sz w:val="24"/>
          <w:szCs w:val="24"/>
          <w:highlight w:val="none"/>
          <w:u w:val="single"/>
          <w:lang w:eastAsia="zh-CN"/>
        </w:rPr>
        <w:t>西安经开第八幼儿园</w:t>
      </w:r>
      <w:r>
        <w:rPr>
          <w:rFonts w:hint="eastAsia" w:ascii="仿宋" w:hAnsi="仿宋" w:eastAsia="仿宋" w:cs="仿宋"/>
          <w:bCs/>
          <w:color w:val="auto"/>
          <w:sz w:val="24"/>
          <w:szCs w:val="24"/>
          <w:highlight w:val="none"/>
          <w:u w:val="single"/>
          <w:lang w:val="en-US" w:eastAsia="zh-CN"/>
        </w:rPr>
        <w:t xml:space="preserve">    </w:t>
      </w:r>
    </w:p>
    <w:p w14:paraId="703B22DF">
      <w:pPr>
        <w:shd w:val="clea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w:t>
      </w:r>
      <w:r>
        <w:rPr>
          <w:rFonts w:hint="eastAsia" w:ascii="仿宋" w:hAnsi="仿宋" w:eastAsia="仿宋" w:cs="仿宋"/>
          <w:bCs/>
          <w:color w:val="auto"/>
          <w:sz w:val="24"/>
          <w:szCs w:val="24"/>
          <w:highlight w:val="none"/>
          <w:lang w:eastAsia="zh-CN"/>
        </w:rPr>
        <w:t>供应商</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 xml:space="preserve"> </w:t>
      </w:r>
    </w:p>
    <w:p w14:paraId="32174277">
      <w:pPr>
        <w:shd w:val="clear"/>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u w:val="single"/>
          <w:lang w:val="en-US" w:eastAsia="zh-CN"/>
        </w:rPr>
        <w:t>西安经开第八幼儿园硬件设施维修改造项目</w:t>
      </w:r>
      <w:r>
        <w:rPr>
          <w:rFonts w:hint="eastAsia" w:ascii="仿宋" w:hAnsi="仿宋" w:eastAsia="仿宋" w:cs="仿宋"/>
          <w:bCs/>
          <w:color w:val="auto"/>
          <w:sz w:val="24"/>
          <w:szCs w:val="24"/>
          <w:highlight w:val="none"/>
        </w:rPr>
        <w:t>在</w:t>
      </w:r>
      <w:r>
        <w:rPr>
          <w:rFonts w:hint="eastAsia" w:ascii="仿宋" w:hAnsi="仿宋" w:eastAsia="仿宋" w:cs="仿宋"/>
          <w:bCs/>
          <w:color w:val="auto"/>
          <w:sz w:val="24"/>
          <w:szCs w:val="24"/>
          <w:highlight w:val="none"/>
          <w:u w:val="single"/>
        </w:rPr>
        <w:t>陕西泽航项目管理有限公司</w:t>
      </w:r>
      <w:r>
        <w:rPr>
          <w:rFonts w:hint="eastAsia" w:ascii="仿宋" w:hAnsi="仿宋" w:eastAsia="仿宋" w:cs="仿宋"/>
          <w:bCs/>
          <w:color w:val="auto"/>
          <w:sz w:val="24"/>
          <w:szCs w:val="24"/>
          <w:highlight w:val="none"/>
        </w:rPr>
        <w:t>组织</w:t>
      </w:r>
      <w:r>
        <w:rPr>
          <w:rFonts w:hint="eastAsia" w:ascii="仿宋" w:hAnsi="仿宋" w:eastAsia="仿宋" w:cs="仿宋"/>
          <w:bCs/>
          <w:color w:val="auto"/>
          <w:sz w:val="24"/>
          <w:szCs w:val="24"/>
          <w:highlight w:val="none"/>
          <w:lang w:eastAsia="zh-CN"/>
        </w:rPr>
        <w:t>竞争性磋商</w:t>
      </w:r>
      <w:r>
        <w:rPr>
          <w:rFonts w:hint="eastAsia" w:ascii="仿宋" w:hAnsi="仿宋" w:eastAsia="仿宋" w:cs="仿宋"/>
          <w:bCs/>
          <w:color w:val="auto"/>
          <w:sz w:val="24"/>
          <w:szCs w:val="24"/>
          <w:highlight w:val="none"/>
        </w:rPr>
        <w:t>，(以下简称“甲方”)确定（以下简称“乙方”）为的</w:t>
      </w:r>
      <w:r>
        <w:rPr>
          <w:rFonts w:hint="eastAsia" w:ascii="仿宋" w:hAnsi="仿宋" w:eastAsia="仿宋" w:cs="仿宋"/>
          <w:bCs/>
          <w:color w:val="auto"/>
          <w:sz w:val="24"/>
          <w:szCs w:val="24"/>
          <w:highlight w:val="none"/>
          <w:lang w:eastAsia="zh-CN"/>
        </w:rPr>
        <w:t>供应商</w:t>
      </w:r>
      <w:r>
        <w:rPr>
          <w:rFonts w:hint="eastAsia" w:ascii="仿宋" w:hAnsi="仿宋" w:eastAsia="仿宋" w:cs="仿宋"/>
          <w:bCs/>
          <w:color w:val="auto"/>
          <w:sz w:val="24"/>
          <w:szCs w:val="24"/>
          <w:highlight w:val="none"/>
        </w:rPr>
        <w:t>。</w:t>
      </w:r>
    </w:p>
    <w:p w14:paraId="42CB3E37">
      <w:pPr>
        <w:shd w:val="clea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w:t>
      </w:r>
      <w:r>
        <w:rPr>
          <w:rFonts w:hint="eastAsia" w:ascii="仿宋" w:hAnsi="仿宋" w:eastAsia="仿宋" w:cs="仿宋"/>
          <w:bCs/>
          <w:color w:val="auto"/>
          <w:sz w:val="24"/>
          <w:szCs w:val="24"/>
          <w:highlight w:val="none"/>
          <w:lang w:eastAsia="zh-CN"/>
        </w:rPr>
        <w:t>中华人民共和国民法典</w:t>
      </w:r>
      <w:r>
        <w:rPr>
          <w:rFonts w:hint="eastAsia" w:ascii="仿宋" w:hAnsi="仿宋" w:eastAsia="仿宋" w:cs="仿宋"/>
          <w:bCs/>
          <w:color w:val="auto"/>
          <w:sz w:val="24"/>
          <w:szCs w:val="24"/>
          <w:highlight w:val="none"/>
        </w:rPr>
        <w:t>》和《中华人民共和国政府采购法》，经双方协商按下述条款和条件签署本合同。</w:t>
      </w:r>
    </w:p>
    <w:p w14:paraId="4579A524">
      <w:pPr>
        <w:shd w:val="clear"/>
        <w:autoSpaceDE w:val="0"/>
        <w:autoSpaceDN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一、合同价款</w:t>
      </w:r>
    </w:p>
    <w:p w14:paraId="238302EE">
      <w:pPr>
        <w:shd w:val="clea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w:t>
      </w:r>
      <w:r>
        <w:rPr>
          <w:rFonts w:hint="eastAsia" w:ascii="仿宋" w:hAnsi="仿宋" w:eastAsia="仿宋" w:cs="仿宋"/>
          <w:bCs/>
          <w:color w:val="auto"/>
          <w:sz w:val="24"/>
          <w:szCs w:val="24"/>
          <w:highlight w:val="none"/>
          <w:lang w:eastAsia="zh-CN"/>
        </w:rPr>
        <w:t>大写：</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元）</w:t>
      </w:r>
      <w:r>
        <w:rPr>
          <w:rFonts w:hint="eastAsia" w:ascii="仿宋" w:hAnsi="仿宋" w:eastAsia="仿宋" w:cs="仿宋"/>
          <w:bCs/>
          <w:color w:val="auto"/>
          <w:sz w:val="24"/>
          <w:szCs w:val="24"/>
          <w:highlight w:val="none"/>
        </w:rPr>
        <w:t>。</w:t>
      </w:r>
    </w:p>
    <w:p w14:paraId="5CECF5E4">
      <w:pPr>
        <w:shd w:val="clea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bCs/>
          <w:color w:val="auto"/>
          <w:sz w:val="24"/>
          <w:szCs w:val="24"/>
          <w:highlight w:val="none"/>
          <w:lang w:eastAsia="zh-CN"/>
        </w:rPr>
        <w:t>工程量清单的全部内容</w:t>
      </w:r>
      <w:r>
        <w:rPr>
          <w:rFonts w:hint="eastAsia" w:ascii="仿宋" w:hAnsi="仿宋" w:eastAsia="仿宋" w:cs="仿宋"/>
          <w:bCs/>
          <w:color w:val="auto"/>
          <w:sz w:val="24"/>
          <w:szCs w:val="24"/>
          <w:highlight w:val="none"/>
        </w:rPr>
        <w:t>，不受市场价变化的影响。合同价格为含税价。</w:t>
      </w:r>
    </w:p>
    <w:p w14:paraId="45AB3B7E">
      <w:pPr>
        <w:shd w:val="clear"/>
        <w:autoSpaceDE w:val="0"/>
        <w:autoSpaceDN w:val="0"/>
        <w:adjustRightInd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w:t>
      </w:r>
      <w:r>
        <w:rPr>
          <w:rFonts w:hint="eastAsia" w:ascii="仿宋" w:hAnsi="仿宋" w:eastAsia="仿宋" w:cs="仿宋"/>
          <w:b/>
          <w:color w:val="auto"/>
          <w:sz w:val="24"/>
          <w:szCs w:val="24"/>
          <w:highlight w:val="none"/>
          <w:lang w:val="en-US" w:eastAsia="zh-CN"/>
        </w:rPr>
        <w:t>付款</w:t>
      </w:r>
      <w:r>
        <w:rPr>
          <w:rFonts w:hint="eastAsia" w:ascii="仿宋" w:hAnsi="仿宋" w:eastAsia="仿宋" w:cs="仿宋"/>
          <w:b/>
          <w:color w:val="auto"/>
          <w:sz w:val="24"/>
          <w:szCs w:val="24"/>
          <w:highlight w:val="none"/>
        </w:rPr>
        <w:t>方式</w:t>
      </w:r>
    </w:p>
    <w:p w14:paraId="25A039BD">
      <w:pPr>
        <w:shd w:val="clear"/>
        <w:autoSpaceDE w:val="0"/>
        <w:autoSpaceDN w:val="0"/>
        <w:adjustRightInd w:val="0"/>
        <w:spacing w:line="360" w:lineRule="auto"/>
        <w:ind w:firstLine="480" w:firstLineChars="200"/>
        <w:rPr>
          <w:rFonts w:hint="default"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合同签订后，达到付款条件30日内，支付合同总价款的40%；完工验收合格后，达到付款条件30日内，支付合同价款的60%。</w:t>
      </w:r>
    </w:p>
    <w:p w14:paraId="65966176">
      <w:pPr>
        <w:shd w:val="clear"/>
        <w:autoSpaceDE w:val="0"/>
        <w:autoSpaceDN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三、实施地点及工期：</w:t>
      </w:r>
    </w:p>
    <w:p w14:paraId="44B12323">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（一）实施地点：</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w:t>
      </w:r>
    </w:p>
    <w:p w14:paraId="32FC1A93">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default" w:ascii="仿宋" w:hAnsi="仿宋" w:eastAsia="仿宋" w:cs="仿宋"/>
          <w:bCs/>
          <w:color w:val="auto"/>
          <w:sz w:val="24"/>
          <w:szCs w:val="24"/>
          <w:highlight w:val="none"/>
          <w:u w:val="single"/>
          <w:lang w:val="en-US" w:eastAsia="zh-CN"/>
        </w:rPr>
      </w:pPr>
      <w:r>
        <w:rPr>
          <w:rFonts w:hint="eastAsia" w:ascii="仿宋" w:hAnsi="仿宋" w:eastAsia="仿宋" w:cs="仿宋"/>
          <w:bCs/>
          <w:color w:val="auto"/>
          <w:sz w:val="24"/>
          <w:szCs w:val="24"/>
          <w:highlight w:val="none"/>
        </w:rPr>
        <w:t>（二）工期：</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w:t>
      </w:r>
    </w:p>
    <w:p w14:paraId="78F14ED9">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（三）缺陷责任期：自本项目竣工验收合格之日起一年。</w:t>
      </w:r>
    </w:p>
    <w:p w14:paraId="78C2BD80">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（四）工程内容：详见工程量清单。</w:t>
      </w:r>
    </w:p>
    <w:p w14:paraId="37A7CD19">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（五）工程承包范围：工程量清单、答疑以及本磋商文件规定的全部内容。文字与清单不符时，以清单为准。</w:t>
      </w:r>
    </w:p>
    <w:p w14:paraId="435B8BE8">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（六）质量标准：符合国家现行有关施工质量验收规范“合格”要求。</w:t>
      </w:r>
    </w:p>
    <w:p w14:paraId="1D7DBF62">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highlight w:val="none"/>
          <w:lang w:val="en-US" w:eastAsia="zh-CN"/>
        </w:rPr>
      </w:pPr>
      <w:r>
        <w:rPr>
          <w:rFonts w:hint="eastAsia" w:ascii="仿宋" w:hAnsi="仿宋" w:eastAsia="仿宋" w:cs="仿宋"/>
          <w:bCs/>
          <w:color w:val="auto"/>
          <w:sz w:val="24"/>
          <w:szCs w:val="24"/>
          <w:highlight w:val="none"/>
          <w:lang w:val="en-US" w:eastAsia="zh-CN"/>
        </w:rPr>
        <w:t>（七）本工程质量保修期为两年，质保期内所发生的的修复费用，均由乙方承担。</w:t>
      </w:r>
    </w:p>
    <w:p w14:paraId="3F1B6768">
      <w:pPr>
        <w:keepNext w:val="0"/>
        <w:keepLines w:val="0"/>
        <w:pageBreakBefore w:val="0"/>
        <w:widowControl w:val="0"/>
        <w:shd w:val="clear"/>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val="en-US" w:eastAsia="zh-CN"/>
        </w:rPr>
        <w:t>（八）项目经理姓名：</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none"/>
          <w:lang w:val="en-US" w:eastAsia="zh-CN"/>
        </w:rPr>
        <w:t>；注册证号：</w:t>
      </w:r>
      <w:r>
        <w:rPr>
          <w:rFonts w:hint="eastAsia" w:ascii="仿宋" w:hAnsi="仿宋" w:eastAsia="仿宋" w:cs="仿宋"/>
          <w:bCs/>
          <w:color w:val="auto"/>
          <w:sz w:val="24"/>
          <w:szCs w:val="24"/>
          <w:highlight w:val="none"/>
          <w:u w:val="single"/>
          <w:lang w:val="en-US" w:eastAsia="zh-CN"/>
        </w:rPr>
        <w:t xml:space="preserve">       </w:t>
      </w:r>
      <w:r>
        <w:rPr>
          <w:rFonts w:hint="eastAsia" w:ascii="仿宋" w:hAnsi="仿宋" w:eastAsia="仿宋" w:cs="仿宋"/>
          <w:bCs/>
          <w:color w:val="auto"/>
          <w:sz w:val="24"/>
          <w:szCs w:val="24"/>
          <w:highlight w:val="none"/>
          <w:lang w:val="en-US" w:eastAsia="zh-CN"/>
        </w:rPr>
        <w:t>。</w:t>
      </w:r>
    </w:p>
    <w:p w14:paraId="708C7F4B">
      <w:pPr>
        <w:pStyle w:val="5"/>
        <w:keepNext w:val="0"/>
        <w:keepLines w:val="0"/>
        <w:pageBreakBefore w:val="0"/>
        <w:widowControl w:val="0"/>
        <w:shd w:val="clear"/>
        <w:kinsoku/>
        <w:wordWrap/>
        <w:overflowPunct/>
        <w:topLinePunct w:val="0"/>
        <w:autoSpaceDE/>
        <w:autoSpaceDN/>
        <w:bidi w:val="0"/>
        <w:adjustRightInd/>
        <w:snapToGrid/>
        <w:spacing w:line="360" w:lineRule="auto"/>
        <w:ind w:left="0" w:leftChars="0"/>
        <w:textAlignment w:val="auto"/>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四、质量保证</w:t>
      </w:r>
    </w:p>
    <w:p w14:paraId="5D19F247">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所选材料必须保证质量可靠、进货渠道正常，符合国家环保等相关标准，满足施工要求。</w:t>
      </w:r>
    </w:p>
    <w:p w14:paraId="470D693E">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工程质量符合国家有关规范，确保达到合格。</w:t>
      </w:r>
    </w:p>
    <w:p w14:paraId="1AF7B944">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该工程项目质量保修期按有关文件规定执行。</w:t>
      </w:r>
    </w:p>
    <w:p w14:paraId="613C6800">
      <w:pPr>
        <w:shd w:val="clear"/>
        <w:spacing w:line="360" w:lineRule="auto"/>
        <w:ind w:firstLine="600" w:firstLineChars="24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五、双方责任</w:t>
      </w:r>
    </w:p>
    <w:p w14:paraId="5E0DD384">
      <w:pPr>
        <w:shd w:val="clear"/>
        <w:spacing w:line="36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（一）甲方责任：</w:t>
      </w:r>
    </w:p>
    <w:p w14:paraId="3BF50B1E">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1、甲方负责施工场地的提供，排除施工障碍的协调。</w:t>
      </w:r>
    </w:p>
    <w:p w14:paraId="51A5C8E6">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2、组织设计、设计变更及现场签证，工程结算的审定等工作。</w:t>
      </w:r>
    </w:p>
    <w:p w14:paraId="049DFB8E">
      <w:pPr>
        <w:shd w:val="clea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3、对工程进度、质量进行监督检查。</w:t>
      </w:r>
    </w:p>
    <w:p w14:paraId="52541467">
      <w:pPr>
        <w:shd w:val="clea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4、组织有关单位对工程进行竣工验收。</w:t>
      </w:r>
    </w:p>
    <w:p w14:paraId="78EB7B34">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5、按时支付工程款。</w:t>
      </w:r>
    </w:p>
    <w:p w14:paraId="5C1663BC">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（二） 乙方责任：</w:t>
      </w:r>
    </w:p>
    <w:p w14:paraId="5BDB06F3">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1、负责办理完成项目使用审批手续，负责工程安全文明施工、承担一切风险，满足甲方工程的需要。保证甲方正式投入使用，再无其他费用发生。</w:t>
      </w:r>
    </w:p>
    <w:p w14:paraId="0FE4A7F7">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133329C8">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21619BE4">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0C0B8366">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5、隐蔽工程在覆盖前必须经甲方代表或现场监理代表验收签章后，方可进行下一道工序。</w:t>
      </w:r>
    </w:p>
    <w:p w14:paraId="7EEE0501">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6、遵守甲方施工场地的规章制度和管理，做到安全文明施工，做 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1408242B">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7、采取有效的安全保障措施，确保施工安全，包括悬挂警示标牌、装设围栏、配备安全人员等，并承担事故的全部费用和责任。</w:t>
      </w:r>
    </w:p>
    <w:p w14:paraId="1330EE06">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8、工程竣工后提供竣工验收技术资料及竣工图</w:t>
      </w:r>
      <w:r>
        <w:rPr>
          <w:rFonts w:hint="eastAsia" w:ascii="仿宋" w:hAnsi="仿宋" w:eastAsia="仿宋" w:cs="仿宋"/>
          <w:color w:val="auto"/>
          <w:sz w:val="24"/>
          <w:szCs w:val="24"/>
          <w:highlight w:val="none"/>
          <w:u w:val="single"/>
        </w:rPr>
        <w:t>肆</w:t>
      </w:r>
      <w:r>
        <w:rPr>
          <w:rFonts w:hint="eastAsia" w:ascii="仿宋" w:hAnsi="仿宋" w:eastAsia="仿宋" w:cs="仿宋"/>
          <w:color w:val="auto"/>
          <w:sz w:val="24"/>
          <w:szCs w:val="24"/>
          <w:highlight w:val="none"/>
        </w:rPr>
        <w:t>套，办理工程竣工结算手续，参加工程竣工验收。</w:t>
      </w:r>
    </w:p>
    <w:p w14:paraId="1F7FD2E0">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9、已完工的项目，在交工前乙方应负责保管，清理现场达到建筑物无污染，现场无建筑垃圾。</w:t>
      </w:r>
    </w:p>
    <w:p w14:paraId="47A1257E">
      <w:pPr>
        <w:shd w:val="clea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10、本工程不得转包。</w:t>
      </w:r>
    </w:p>
    <w:p w14:paraId="2768DB04">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11、乙方应在设备运行过程中，对安全隐患进行全面的不定期检查与维护，并对不按安全规程操作的施工单位及时制止，并报甲方进行处理。</w:t>
      </w:r>
    </w:p>
    <w:p w14:paraId="1609B63E">
      <w:pPr>
        <w:shd w:val="clear"/>
        <w:spacing w:line="360" w:lineRule="auto"/>
        <w:ind w:firstLine="480" w:firstLineChars="200"/>
        <w:rPr>
          <w:rFonts w:hint="eastAsia" w:ascii="仿宋" w:hAnsi="仿宋" w:eastAsia="仿宋" w:cs="仿宋"/>
          <w:b/>
          <w:color w:val="auto"/>
          <w:sz w:val="24"/>
          <w:szCs w:val="24"/>
          <w:highlight w:val="none"/>
          <w:lang w:val="zh-CN"/>
        </w:rPr>
      </w:pPr>
      <w:r>
        <w:rPr>
          <w:rFonts w:hint="eastAsia" w:ascii="仿宋" w:hAnsi="仿宋" w:eastAsia="仿宋" w:cs="仿宋"/>
          <w:color w:val="auto"/>
          <w:sz w:val="24"/>
          <w:szCs w:val="24"/>
          <w:highlight w:val="none"/>
        </w:rPr>
        <w:t>12、乙方不能按合同规定的工期竣工的，应向甲方支付违约金，每逾期一日，支付合同总价款万分之二的违约金，造成甲方损失的，还应赔偿甲方损失。</w:t>
      </w:r>
    </w:p>
    <w:p w14:paraId="5CD11427">
      <w:pPr>
        <w:shd w:val="clear"/>
        <w:spacing w:line="360" w:lineRule="auto"/>
        <w:ind w:firstLine="634" w:firstLineChars="263"/>
        <w:jc w:val="left"/>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六、组成合同的文件</w:t>
      </w:r>
    </w:p>
    <w:p w14:paraId="7CC7C26E">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1．组成本合同的文件包括：</w:t>
      </w:r>
    </w:p>
    <w:p w14:paraId="661A760D">
      <w:pPr>
        <w:keepNext w:val="0"/>
        <w:keepLines w:val="0"/>
        <w:pageBreakBefore w:val="0"/>
        <w:widowControl w:val="0"/>
        <w:shd w:val="clear"/>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(1)、本合同书</w:t>
      </w:r>
    </w:p>
    <w:p w14:paraId="10A61BE6">
      <w:pPr>
        <w:keepNext w:val="0"/>
        <w:keepLines w:val="0"/>
        <w:pageBreakBefore w:val="0"/>
        <w:widowControl w:val="0"/>
        <w:shd w:val="clear"/>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通知书</w:t>
      </w:r>
    </w:p>
    <w:p w14:paraId="7A0DADE0">
      <w:pPr>
        <w:keepNext w:val="0"/>
        <w:keepLines w:val="0"/>
        <w:pageBreakBefore w:val="0"/>
        <w:widowControl w:val="0"/>
        <w:shd w:val="clear"/>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磋商</w:t>
      </w:r>
      <w:r>
        <w:rPr>
          <w:rFonts w:hint="eastAsia" w:ascii="仿宋" w:hAnsi="仿宋" w:eastAsia="仿宋" w:cs="仿宋"/>
          <w:color w:val="auto"/>
          <w:sz w:val="24"/>
          <w:szCs w:val="24"/>
          <w:highlight w:val="none"/>
        </w:rPr>
        <w:t>文件及其附件</w:t>
      </w:r>
    </w:p>
    <w:p w14:paraId="6D3A7E89">
      <w:pPr>
        <w:keepNext w:val="0"/>
        <w:keepLines w:val="0"/>
        <w:pageBreakBefore w:val="0"/>
        <w:widowControl w:val="0"/>
        <w:shd w:val="clear"/>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磋商报价</w:t>
      </w:r>
    </w:p>
    <w:p w14:paraId="77F49915">
      <w:pPr>
        <w:keepNext w:val="0"/>
        <w:keepLines w:val="0"/>
        <w:pageBreakBefore w:val="0"/>
        <w:widowControl w:val="0"/>
        <w:shd w:val="clear"/>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技术标准和要求</w:t>
      </w:r>
    </w:p>
    <w:p w14:paraId="509737B3">
      <w:pPr>
        <w:keepNext w:val="0"/>
        <w:keepLines w:val="0"/>
        <w:pageBreakBefore w:val="0"/>
        <w:widowControl w:val="0"/>
        <w:shd w:val="clear"/>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已标价工程量清单或预算书</w:t>
      </w:r>
    </w:p>
    <w:p w14:paraId="407EF5D8">
      <w:pPr>
        <w:keepNext w:val="0"/>
        <w:keepLines w:val="0"/>
        <w:pageBreakBefore w:val="0"/>
        <w:widowControl w:val="0"/>
        <w:shd w:val="clear"/>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其他合同文件。</w:t>
      </w:r>
    </w:p>
    <w:p w14:paraId="5F6BC8A9">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2．双方有关工程的洽商、变更等书面协议或文件、补充协议书均视为本合同的组成部分。</w:t>
      </w:r>
    </w:p>
    <w:p w14:paraId="52D8AAEE">
      <w:pPr>
        <w:shd w:val="clear"/>
        <w:autoSpaceDE w:val="0"/>
        <w:autoSpaceDN w:val="0"/>
        <w:adjustRightInd w:val="0"/>
        <w:spacing w:line="360" w:lineRule="auto"/>
        <w:ind w:firstLine="472" w:firstLineChars="196"/>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七、验收</w:t>
      </w:r>
    </w:p>
    <w:p w14:paraId="4FCA3C12">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主材到现场后，由甲方对其进行验收，确认材料的产地、规格、数量。</w:t>
      </w:r>
    </w:p>
    <w:p w14:paraId="574ECC30">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乙方工程完工后，进行自检，合格后准备验收文件，并书面通知甲方。</w:t>
      </w:r>
    </w:p>
    <w:p w14:paraId="7E3F8289">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甲方确认乙方的自检内容，验收合格作为工程的最终认可。</w:t>
      </w:r>
    </w:p>
    <w:p w14:paraId="1FD9BBF9">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（四）</w:t>
      </w:r>
      <w:r>
        <w:rPr>
          <w:rFonts w:hint="eastAsia" w:ascii="仿宋" w:hAnsi="仿宋" w:eastAsia="仿宋" w:cs="仿宋"/>
          <w:color w:val="auto"/>
          <w:sz w:val="24"/>
          <w:szCs w:val="24"/>
          <w:highlight w:val="none"/>
          <w:lang w:val="zh-CN"/>
        </w:rPr>
        <w:t>验收依据：</w:t>
      </w:r>
    </w:p>
    <w:p w14:paraId="465AC1B0">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4-1、合同、磋商文件、磋商响应文件及承诺。</w:t>
      </w:r>
    </w:p>
    <w:p w14:paraId="39570F57">
      <w:pPr>
        <w:shd w:val="clea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4-2、国家相关</w:t>
      </w:r>
      <w:r>
        <w:rPr>
          <w:rFonts w:hint="eastAsia" w:ascii="仿宋" w:hAnsi="仿宋" w:eastAsia="仿宋" w:cs="仿宋"/>
          <w:bCs/>
          <w:color w:val="auto"/>
          <w:sz w:val="24"/>
          <w:szCs w:val="24"/>
          <w:highlight w:val="none"/>
        </w:rPr>
        <w:t>标准、规范及有关技术文件</w:t>
      </w:r>
      <w:r>
        <w:rPr>
          <w:rFonts w:hint="eastAsia" w:ascii="仿宋" w:hAnsi="仿宋" w:eastAsia="仿宋" w:cs="仿宋"/>
          <w:color w:val="auto"/>
          <w:sz w:val="24"/>
          <w:szCs w:val="24"/>
          <w:highlight w:val="none"/>
          <w:lang w:val="zh-CN"/>
        </w:rPr>
        <w:t>。</w:t>
      </w:r>
    </w:p>
    <w:p w14:paraId="1FBE6CF1">
      <w:pPr>
        <w:shd w:val="clea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八、争议的解决方式</w:t>
      </w:r>
    </w:p>
    <w:p w14:paraId="63BF54C3">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合同执行过程中如发生争议，双方应及时协商解决，协商不成，双方均可向项目所在地人民法院起诉。</w:t>
      </w:r>
    </w:p>
    <w:p w14:paraId="7CC89644">
      <w:pPr>
        <w:shd w:val="clea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九、其他</w:t>
      </w:r>
    </w:p>
    <w:p w14:paraId="04D13C25">
      <w:pPr>
        <w:shd w:val="clea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本合同未定事宜，双方可根据具体情况结合有关规定另行签订补充协议，补充协议与本合同具有同等法律效力。</w:t>
      </w:r>
    </w:p>
    <w:p w14:paraId="3B7B32B4">
      <w:pPr>
        <w:shd w:val="clea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十、附则</w:t>
      </w:r>
    </w:p>
    <w:p w14:paraId="2266E14F">
      <w:pPr>
        <w:shd w:val="clear"/>
        <w:tabs>
          <w:tab w:val="left" w:pos="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（一）本合同一式</w:t>
      </w:r>
      <w:r>
        <w:rPr>
          <w:rFonts w:hint="eastAsia" w:ascii="仿宋" w:hAnsi="仿宋" w:eastAsia="仿宋" w:cs="仿宋"/>
          <w:color w:val="auto"/>
          <w:sz w:val="24"/>
          <w:szCs w:val="24"/>
          <w:highlight w:val="none"/>
          <w:u w:val="single"/>
          <w:lang w:val="en-US" w:eastAsia="zh-CN"/>
        </w:rPr>
        <w:t>肆</w:t>
      </w:r>
      <w:r>
        <w:rPr>
          <w:rFonts w:hint="eastAsia" w:ascii="仿宋" w:hAnsi="仿宋" w:eastAsia="仿宋" w:cs="仿宋"/>
          <w:color w:val="auto"/>
          <w:sz w:val="24"/>
          <w:szCs w:val="24"/>
          <w:highlight w:val="none"/>
        </w:rPr>
        <w:t>份，甲、乙方各执</w:t>
      </w:r>
      <w:r>
        <w:rPr>
          <w:rFonts w:hint="eastAsia" w:ascii="仿宋" w:hAnsi="仿宋" w:eastAsia="仿宋" w:cs="仿宋"/>
          <w:color w:val="auto"/>
          <w:sz w:val="24"/>
          <w:szCs w:val="24"/>
          <w:highlight w:val="none"/>
          <w:u w:val="single"/>
          <w:lang w:val="en-US" w:eastAsia="zh-CN"/>
        </w:rPr>
        <w:t>贰</w:t>
      </w:r>
      <w:r>
        <w:rPr>
          <w:rFonts w:hint="eastAsia" w:ascii="仿宋" w:hAnsi="仿宋" w:eastAsia="仿宋" w:cs="仿宋"/>
          <w:color w:val="auto"/>
          <w:sz w:val="24"/>
          <w:szCs w:val="24"/>
          <w:highlight w:val="none"/>
        </w:rPr>
        <w:t>份。</w:t>
      </w:r>
    </w:p>
    <w:p w14:paraId="602BB07B">
      <w:pPr>
        <w:shd w:val="clear"/>
        <w:spacing w:line="360" w:lineRule="auto"/>
        <w:ind w:firstLine="480" w:firstLineChars="2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z w:val="24"/>
          <w:szCs w:val="24"/>
          <w:highlight w:val="none"/>
        </w:rPr>
        <w:t>（二）合同经双方盖章后生效，各条款执行完毕后终止。</w:t>
      </w:r>
    </w:p>
    <w:tbl>
      <w:tblPr>
        <w:tblStyle w:val="6"/>
        <w:tblW w:w="8403" w:type="dxa"/>
        <w:jc w:val="center"/>
        <w:tblLayout w:type="fixed"/>
        <w:tblCellMar>
          <w:top w:w="0" w:type="dxa"/>
          <w:left w:w="108" w:type="dxa"/>
          <w:bottom w:w="0" w:type="dxa"/>
          <w:right w:w="108" w:type="dxa"/>
        </w:tblCellMar>
      </w:tblPr>
      <w:tblGrid>
        <w:gridCol w:w="4201"/>
        <w:gridCol w:w="4202"/>
      </w:tblGrid>
      <w:tr w14:paraId="476FF227">
        <w:tblPrEx>
          <w:tblCellMar>
            <w:top w:w="0" w:type="dxa"/>
            <w:left w:w="108" w:type="dxa"/>
            <w:bottom w:w="0" w:type="dxa"/>
            <w:right w:w="108" w:type="dxa"/>
          </w:tblCellMar>
        </w:tblPrEx>
        <w:trPr>
          <w:trHeight w:val="567" w:hRule="exact"/>
          <w:jc w:val="center"/>
        </w:trPr>
        <w:tc>
          <w:tcPr>
            <w:tcW w:w="4201" w:type="dxa"/>
            <w:noWrap/>
            <w:vAlign w:val="center"/>
          </w:tcPr>
          <w:p w14:paraId="6EA19CA6">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甲  方</w:t>
            </w:r>
          </w:p>
        </w:tc>
        <w:tc>
          <w:tcPr>
            <w:tcW w:w="4202" w:type="dxa"/>
            <w:noWrap/>
            <w:vAlign w:val="center"/>
          </w:tcPr>
          <w:p w14:paraId="29CC40F0">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乙  方</w:t>
            </w:r>
          </w:p>
        </w:tc>
      </w:tr>
      <w:tr w14:paraId="2CCBDA6A">
        <w:tblPrEx>
          <w:tblCellMar>
            <w:top w:w="0" w:type="dxa"/>
            <w:left w:w="108" w:type="dxa"/>
            <w:bottom w:w="0" w:type="dxa"/>
            <w:right w:w="108" w:type="dxa"/>
          </w:tblCellMar>
        </w:tblPrEx>
        <w:trPr>
          <w:trHeight w:val="567" w:hRule="exact"/>
          <w:jc w:val="center"/>
        </w:trPr>
        <w:tc>
          <w:tcPr>
            <w:tcW w:w="4201" w:type="dxa"/>
            <w:noWrap/>
            <w:vAlign w:val="center"/>
          </w:tcPr>
          <w:p w14:paraId="209C88E3">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（盖章）</w:t>
            </w:r>
          </w:p>
        </w:tc>
        <w:tc>
          <w:tcPr>
            <w:tcW w:w="4202" w:type="dxa"/>
            <w:noWrap/>
            <w:vAlign w:val="center"/>
          </w:tcPr>
          <w:p w14:paraId="492DFABB">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（盖章）</w:t>
            </w:r>
          </w:p>
        </w:tc>
      </w:tr>
      <w:tr w14:paraId="127279CD">
        <w:tblPrEx>
          <w:tblCellMar>
            <w:top w:w="0" w:type="dxa"/>
            <w:left w:w="108" w:type="dxa"/>
            <w:bottom w:w="0" w:type="dxa"/>
            <w:right w:w="108" w:type="dxa"/>
          </w:tblCellMar>
        </w:tblPrEx>
        <w:trPr>
          <w:trHeight w:val="567" w:hRule="exact"/>
          <w:jc w:val="center"/>
        </w:trPr>
        <w:tc>
          <w:tcPr>
            <w:tcW w:w="4201" w:type="dxa"/>
            <w:noWrap/>
            <w:vAlign w:val="center"/>
          </w:tcPr>
          <w:p w14:paraId="65C7B48E">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 xml:space="preserve">地址： </w:t>
            </w:r>
          </w:p>
        </w:tc>
        <w:tc>
          <w:tcPr>
            <w:tcW w:w="4202" w:type="dxa"/>
            <w:noWrap/>
            <w:vAlign w:val="center"/>
          </w:tcPr>
          <w:p w14:paraId="789FFEB3">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地址：</w:t>
            </w:r>
          </w:p>
        </w:tc>
      </w:tr>
      <w:tr w14:paraId="6F517C5F">
        <w:tblPrEx>
          <w:tblCellMar>
            <w:top w:w="0" w:type="dxa"/>
            <w:left w:w="108" w:type="dxa"/>
            <w:bottom w:w="0" w:type="dxa"/>
            <w:right w:w="108" w:type="dxa"/>
          </w:tblCellMar>
        </w:tblPrEx>
        <w:trPr>
          <w:trHeight w:val="567" w:hRule="exact"/>
          <w:jc w:val="center"/>
        </w:trPr>
        <w:tc>
          <w:tcPr>
            <w:tcW w:w="4201" w:type="dxa"/>
            <w:noWrap/>
            <w:vAlign w:val="center"/>
          </w:tcPr>
          <w:p w14:paraId="1D696CBD">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邮编：</w:t>
            </w:r>
          </w:p>
        </w:tc>
        <w:tc>
          <w:tcPr>
            <w:tcW w:w="4202" w:type="dxa"/>
            <w:noWrap/>
            <w:vAlign w:val="center"/>
          </w:tcPr>
          <w:p w14:paraId="1659783E">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邮编：</w:t>
            </w:r>
          </w:p>
        </w:tc>
      </w:tr>
      <w:tr w14:paraId="38B22C2B">
        <w:tblPrEx>
          <w:tblCellMar>
            <w:top w:w="0" w:type="dxa"/>
            <w:left w:w="108" w:type="dxa"/>
            <w:bottom w:w="0" w:type="dxa"/>
            <w:right w:w="108" w:type="dxa"/>
          </w:tblCellMar>
        </w:tblPrEx>
        <w:trPr>
          <w:trHeight w:val="567" w:hRule="exact"/>
          <w:jc w:val="center"/>
        </w:trPr>
        <w:tc>
          <w:tcPr>
            <w:tcW w:w="4201" w:type="dxa"/>
            <w:noWrap/>
            <w:vAlign w:val="center"/>
          </w:tcPr>
          <w:p w14:paraId="0E3191E3">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法定代表人</w:t>
            </w:r>
            <w:r>
              <w:rPr>
                <w:rFonts w:hint="eastAsia" w:ascii="仿宋" w:hAnsi="仿宋" w:eastAsia="仿宋" w:cs="仿宋"/>
                <w:color w:val="auto"/>
                <w:spacing w:val="-20"/>
                <w:kern w:val="0"/>
                <w:sz w:val="24"/>
                <w:szCs w:val="24"/>
                <w:highlight w:val="none"/>
                <w:lang w:val="en-US" w:eastAsia="zh-CN"/>
              </w:rPr>
              <w:t>或</w:t>
            </w:r>
            <w:r>
              <w:rPr>
                <w:rFonts w:hint="eastAsia" w:ascii="仿宋" w:hAnsi="仿宋" w:eastAsia="仿宋" w:cs="仿宋"/>
                <w:color w:val="auto"/>
                <w:spacing w:val="-20"/>
                <w:kern w:val="0"/>
                <w:sz w:val="24"/>
                <w:szCs w:val="24"/>
                <w:highlight w:val="none"/>
              </w:rPr>
              <w:t xml:space="preserve">被授权代表： </w:t>
            </w:r>
          </w:p>
        </w:tc>
        <w:tc>
          <w:tcPr>
            <w:tcW w:w="4202" w:type="dxa"/>
            <w:noWrap/>
            <w:vAlign w:val="center"/>
          </w:tcPr>
          <w:p w14:paraId="586A4FB4">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法定代表人</w:t>
            </w:r>
            <w:r>
              <w:rPr>
                <w:rFonts w:hint="eastAsia" w:ascii="仿宋" w:hAnsi="仿宋" w:eastAsia="仿宋" w:cs="仿宋"/>
                <w:color w:val="auto"/>
                <w:spacing w:val="-20"/>
                <w:kern w:val="0"/>
                <w:sz w:val="24"/>
                <w:szCs w:val="24"/>
                <w:highlight w:val="none"/>
                <w:lang w:val="en-US" w:eastAsia="zh-CN"/>
              </w:rPr>
              <w:t>或</w:t>
            </w:r>
            <w:r>
              <w:rPr>
                <w:rFonts w:hint="eastAsia" w:ascii="仿宋" w:hAnsi="仿宋" w:eastAsia="仿宋" w:cs="仿宋"/>
                <w:color w:val="auto"/>
                <w:spacing w:val="-20"/>
                <w:kern w:val="0"/>
                <w:sz w:val="24"/>
                <w:szCs w:val="24"/>
                <w:highlight w:val="none"/>
              </w:rPr>
              <w:t>被授权代表：</w:t>
            </w:r>
          </w:p>
        </w:tc>
      </w:tr>
      <w:tr w14:paraId="24DE0148">
        <w:tblPrEx>
          <w:tblCellMar>
            <w:top w:w="0" w:type="dxa"/>
            <w:left w:w="108" w:type="dxa"/>
            <w:bottom w:w="0" w:type="dxa"/>
            <w:right w:w="108" w:type="dxa"/>
          </w:tblCellMar>
        </w:tblPrEx>
        <w:trPr>
          <w:trHeight w:val="567" w:hRule="exact"/>
          <w:jc w:val="center"/>
        </w:trPr>
        <w:tc>
          <w:tcPr>
            <w:tcW w:w="4201" w:type="dxa"/>
            <w:noWrap/>
            <w:vAlign w:val="center"/>
          </w:tcPr>
          <w:p w14:paraId="1D737DC8">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电话：</w:t>
            </w:r>
          </w:p>
        </w:tc>
        <w:tc>
          <w:tcPr>
            <w:tcW w:w="4202" w:type="dxa"/>
            <w:noWrap/>
            <w:vAlign w:val="center"/>
          </w:tcPr>
          <w:p w14:paraId="75C3D45D">
            <w:pPr>
              <w:shd w:val="clear"/>
              <w:autoSpaceDE w:val="0"/>
              <w:autoSpaceDN w:val="0"/>
              <w:adjustRightInd w:val="0"/>
              <w:spacing w:line="480" w:lineRule="auto"/>
              <w:ind w:left="600" w:hanging="600" w:hangingChars="3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电话：</w:t>
            </w:r>
          </w:p>
        </w:tc>
      </w:tr>
      <w:tr w14:paraId="0B04A0D0">
        <w:tblPrEx>
          <w:tblCellMar>
            <w:top w:w="0" w:type="dxa"/>
            <w:left w:w="108" w:type="dxa"/>
            <w:bottom w:w="0" w:type="dxa"/>
            <w:right w:w="108" w:type="dxa"/>
          </w:tblCellMar>
        </w:tblPrEx>
        <w:trPr>
          <w:trHeight w:val="567" w:hRule="exact"/>
          <w:jc w:val="center"/>
        </w:trPr>
        <w:tc>
          <w:tcPr>
            <w:tcW w:w="4201" w:type="dxa"/>
            <w:noWrap/>
            <w:vAlign w:val="center"/>
          </w:tcPr>
          <w:p w14:paraId="275486E5">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传真：</w:t>
            </w:r>
          </w:p>
        </w:tc>
        <w:tc>
          <w:tcPr>
            <w:tcW w:w="4202" w:type="dxa"/>
            <w:noWrap/>
            <w:vAlign w:val="center"/>
          </w:tcPr>
          <w:p w14:paraId="57775C5A">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传真：</w:t>
            </w:r>
          </w:p>
        </w:tc>
      </w:tr>
      <w:tr w14:paraId="28B1DD23">
        <w:tblPrEx>
          <w:tblCellMar>
            <w:top w:w="0" w:type="dxa"/>
            <w:left w:w="108" w:type="dxa"/>
            <w:bottom w:w="0" w:type="dxa"/>
            <w:right w:w="108" w:type="dxa"/>
          </w:tblCellMar>
        </w:tblPrEx>
        <w:trPr>
          <w:trHeight w:val="567" w:hRule="exact"/>
          <w:jc w:val="center"/>
        </w:trPr>
        <w:tc>
          <w:tcPr>
            <w:tcW w:w="4201" w:type="dxa"/>
            <w:noWrap/>
            <w:vAlign w:val="center"/>
          </w:tcPr>
          <w:p w14:paraId="1AA5D7C8">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开户银行：</w:t>
            </w:r>
          </w:p>
        </w:tc>
        <w:tc>
          <w:tcPr>
            <w:tcW w:w="4202" w:type="dxa"/>
            <w:noWrap/>
            <w:vAlign w:val="center"/>
          </w:tcPr>
          <w:p w14:paraId="1D031344">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开户银行：</w:t>
            </w:r>
          </w:p>
        </w:tc>
      </w:tr>
      <w:tr w14:paraId="65BCAC9E">
        <w:tblPrEx>
          <w:tblCellMar>
            <w:top w:w="0" w:type="dxa"/>
            <w:left w:w="108" w:type="dxa"/>
            <w:bottom w:w="0" w:type="dxa"/>
            <w:right w:w="108" w:type="dxa"/>
          </w:tblCellMar>
        </w:tblPrEx>
        <w:trPr>
          <w:trHeight w:val="567" w:hRule="exact"/>
          <w:jc w:val="center"/>
        </w:trPr>
        <w:tc>
          <w:tcPr>
            <w:tcW w:w="4201" w:type="dxa"/>
            <w:noWrap/>
            <w:vAlign w:val="center"/>
          </w:tcPr>
          <w:p w14:paraId="76C4979A">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日期：</w:t>
            </w:r>
          </w:p>
        </w:tc>
        <w:tc>
          <w:tcPr>
            <w:tcW w:w="4202" w:type="dxa"/>
            <w:noWrap/>
            <w:vAlign w:val="center"/>
          </w:tcPr>
          <w:p w14:paraId="474D7465">
            <w:pPr>
              <w:shd w:val="clea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日期：</w:t>
            </w:r>
          </w:p>
        </w:tc>
      </w:tr>
    </w:tbl>
    <w:p w14:paraId="3E0DB32E">
      <w:pPr>
        <w:pStyle w:val="4"/>
        <w:shd w:val="clear"/>
        <w:rPr>
          <w:rFonts w:hint="eastAsia"/>
          <w:highlight w:val="none"/>
        </w:rPr>
      </w:pPr>
    </w:p>
    <w:p w14:paraId="2C85DDEA">
      <w:pPr>
        <w:shd w:val="clea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br w:type="page"/>
      </w:r>
    </w:p>
    <w:p w14:paraId="06F2D00A">
      <w:pPr>
        <w:keepNext w:val="0"/>
        <w:keepLines w:val="0"/>
        <w:pageBreakBefore w:val="0"/>
        <w:widowControl w:val="0"/>
        <w:shd w:val="clear"/>
        <w:kinsoku/>
        <w:wordWrap/>
        <w:overflowPunct/>
        <w:topLinePunct w:val="0"/>
        <w:autoSpaceDE/>
        <w:autoSpaceDN/>
        <w:bidi w:val="0"/>
        <w:adjustRightInd/>
        <w:snapToGrid/>
        <w:spacing w:line="440" w:lineRule="exact"/>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附</w:t>
      </w:r>
      <w:bookmarkStart w:id="0" w:name="_Toc296891054"/>
      <w:bookmarkStart w:id="1" w:name="_Toc296503226"/>
      <w:bookmarkStart w:id="2" w:name="_Toc267261693"/>
      <w:bookmarkStart w:id="3" w:name="_Toc296891266"/>
      <w:bookmarkStart w:id="4" w:name="_Toc296347225"/>
      <w:bookmarkStart w:id="5" w:name="_Toc296346727"/>
      <w:bookmarkStart w:id="6" w:name="_Toc296944565"/>
      <w:r>
        <w:rPr>
          <w:rFonts w:hint="eastAsia" w:ascii="仿宋" w:hAnsi="仿宋" w:eastAsia="仿宋" w:cs="仿宋"/>
          <w:color w:val="000000"/>
          <w:sz w:val="24"/>
          <w:szCs w:val="24"/>
          <w:highlight w:val="none"/>
        </w:rPr>
        <w:t>件</w:t>
      </w:r>
      <w:r>
        <w:rPr>
          <w:rFonts w:hint="eastAsia" w:ascii="仿宋" w:hAnsi="仿宋" w:eastAsia="仿宋" w:cs="仿宋"/>
          <w:color w:val="000000"/>
          <w:sz w:val="24"/>
          <w:szCs w:val="24"/>
          <w:highlight w:val="none"/>
          <w:lang w:val="en-US" w:eastAsia="zh-CN"/>
        </w:rPr>
        <w:t>1</w:t>
      </w:r>
      <w:r>
        <w:rPr>
          <w:rFonts w:hint="eastAsia" w:ascii="仿宋" w:hAnsi="仿宋" w:eastAsia="仿宋" w:cs="仿宋"/>
          <w:color w:val="000000"/>
          <w:sz w:val="24"/>
          <w:szCs w:val="24"/>
          <w:highlight w:val="none"/>
        </w:rPr>
        <w:t>：</w:t>
      </w:r>
      <w:bookmarkEnd w:id="0"/>
      <w:bookmarkEnd w:id="1"/>
      <w:bookmarkEnd w:id="2"/>
      <w:bookmarkEnd w:id="3"/>
      <w:bookmarkEnd w:id="4"/>
      <w:bookmarkEnd w:id="5"/>
      <w:bookmarkEnd w:id="6"/>
      <w:r>
        <w:rPr>
          <w:rFonts w:hint="eastAsia" w:ascii="仿宋" w:hAnsi="仿宋" w:eastAsia="仿宋" w:cs="仿宋"/>
          <w:color w:val="000000"/>
          <w:sz w:val="24"/>
          <w:szCs w:val="24"/>
          <w:highlight w:val="none"/>
        </w:rPr>
        <w:t xml:space="preserve">    </w:t>
      </w:r>
    </w:p>
    <w:p w14:paraId="0DD9A668">
      <w:pPr>
        <w:keepNext w:val="0"/>
        <w:keepLines w:val="0"/>
        <w:pageBreakBefore w:val="0"/>
        <w:widowControl w:val="0"/>
        <w:shd w:val="clear"/>
        <w:kinsoku/>
        <w:wordWrap/>
        <w:overflowPunct/>
        <w:topLinePunct w:val="0"/>
        <w:autoSpaceDE/>
        <w:autoSpaceDN/>
        <w:bidi w:val="0"/>
        <w:adjustRightInd/>
        <w:snapToGrid/>
        <w:spacing w:before="156" w:beforeLines="50" w:after="156" w:afterLines="50" w:line="440" w:lineRule="exact"/>
        <w:jc w:val="center"/>
        <w:textAlignment w:val="auto"/>
        <w:outlineLvl w:val="9"/>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工程质量保修书</w:t>
      </w:r>
    </w:p>
    <w:p w14:paraId="5EAC2D92">
      <w:pPr>
        <w:keepNext w:val="0"/>
        <w:keepLines w:val="0"/>
        <w:pageBreakBefore w:val="0"/>
        <w:widowControl w:val="0"/>
        <w:shd w:val="clear"/>
        <w:kinsoku/>
        <w:wordWrap/>
        <w:overflowPunct/>
        <w:topLinePunct w:val="0"/>
        <w:autoSpaceDE/>
        <w:autoSpaceDN/>
        <w:bidi w:val="0"/>
        <w:adjustRightInd/>
        <w:snapToGrid/>
        <w:spacing w:line="440" w:lineRule="exact"/>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发包人（</w:t>
      </w:r>
      <w:r>
        <w:rPr>
          <w:rFonts w:hint="eastAsia" w:ascii="仿宋" w:hAnsi="仿宋" w:eastAsia="仿宋" w:cs="仿宋"/>
          <w:bCs/>
          <w:color w:val="auto"/>
          <w:sz w:val="24"/>
          <w:szCs w:val="24"/>
          <w:highlight w:val="none"/>
        </w:rPr>
        <w:t>采购人</w:t>
      </w:r>
      <w:r>
        <w:rPr>
          <w:rFonts w:hint="eastAsia" w:ascii="仿宋" w:hAnsi="仿宋" w:eastAsia="仿宋" w:cs="仿宋"/>
          <w:color w:val="000000"/>
          <w:sz w:val="24"/>
          <w:szCs w:val="24"/>
          <w:highlight w:val="none"/>
        </w:rPr>
        <w:t xml:space="preserve">）： </w:t>
      </w:r>
      <w:r>
        <w:rPr>
          <w:rFonts w:hint="eastAsia" w:ascii="仿宋" w:hAnsi="仿宋" w:eastAsia="仿宋" w:cs="仿宋"/>
          <w:bCs/>
          <w:color w:val="auto"/>
          <w:sz w:val="24"/>
          <w:szCs w:val="24"/>
          <w:highlight w:val="none"/>
          <w:u w:val="single"/>
          <w:lang w:eastAsia="zh-CN"/>
        </w:rPr>
        <w:t>西安经开第八幼儿园</w:t>
      </w:r>
    </w:p>
    <w:p w14:paraId="16D62DBF">
      <w:pPr>
        <w:keepNext w:val="0"/>
        <w:keepLines w:val="0"/>
        <w:pageBreakBefore w:val="0"/>
        <w:widowControl w:val="0"/>
        <w:shd w:val="clear"/>
        <w:kinsoku/>
        <w:wordWrap/>
        <w:overflowPunct/>
        <w:topLinePunct w:val="0"/>
        <w:autoSpaceDE/>
        <w:autoSpaceDN/>
        <w:bidi w:val="0"/>
        <w:adjustRightInd/>
        <w:snapToGrid/>
        <w:spacing w:line="440" w:lineRule="exact"/>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承包人（</w:t>
      </w:r>
      <w:r>
        <w:rPr>
          <w:rFonts w:hint="eastAsia" w:ascii="仿宋" w:hAnsi="仿宋" w:eastAsia="仿宋" w:cs="仿宋"/>
          <w:color w:val="000000"/>
          <w:sz w:val="24"/>
          <w:szCs w:val="24"/>
          <w:highlight w:val="none"/>
          <w:lang w:val="en-US" w:eastAsia="zh-CN"/>
        </w:rPr>
        <w:t>供应商</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w:t>
      </w:r>
    </w:p>
    <w:p w14:paraId="233ECB6A">
      <w:pPr>
        <w:keepNext w:val="0"/>
        <w:keepLines w:val="0"/>
        <w:pageBreakBefore w:val="0"/>
        <w:widowControl w:val="0"/>
        <w:shd w:val="clear"/>
        <w:kinsoku/>
        <w:wordWrap/>
        <w:overflowPunct/>
        <w:topLinePunct w:val="0"/>
        <w:autoSpaceDE/>
        <w:autoSpaceDN/>
        <w:bidi w:val="0"/>
        <w:adjustRightInd/>
        <w:snapToGrid/>
        <w:spacing w:line="440" w:lineRule="exact"/>
        <w:textAlignment w:val="auto"/>
        <w:outlineLvl w:val="9"/>
        <w:rPr>
          <w:rFonts w:hint="eastAsia" w:ascii="仿宋" w:hAnsi="仿宋" w:eastAsia="仿宋" w:cs="仿宋"/>
          <w:color w:val="000000"/>
          <w:sz w:val="24"/>
          <w:szCs w:val="24"/>
          <w:highlight w:val="none"/>
        </w:rPr>
      </w:pPr>
    </w:p>
    <w:p w14:paraId="39863EF4">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发包人和承包人根据《中华人民共和国建筑法》和《建设工程质量管理条例》，经协商一致就</w:t>
      </w:r>
      <w:r>
        <w:rPr>
          <w:rFonts w:hint="eastAsia" w:ascii="仿宋" w:hAnsi="仿宋" w:eastAsia="仿宋" w:cs="仿宋"/>
          <w:color w:val="000000"/>
          <w:sz w:val="24"/>
          <w:szCs w:val="24"/>
          <w:highlight w:val="none"/>
          <w:u w:val="single"/>
          <w:lang w:val="en-US" w:eastAsia="zh-CN"/>
        </w:rPr>
        <w:t>（西安经开第八幼儿园硬件设施维修改造项目</w:t>
      </w:r>
      <w:r>
        <w:rPr>
          <w:rFonts w:hint="eastAsia" w:ascii="仿宋" w:hAnsi="仿宋" w:eastAsia="仿宋" w:cs="仿宋"/>
          <w:color w:val="000000"/>
          <w:sz w:val="24"/>
          <w:szCs w:val="24"/>
          <w:highlight w:val="none"/>
        </w:rPr>
        <w:t>）签订工程质量保修书。</w:t>
      </w:r>
    </w:p>
    <w:p w14:paraId="6DFFCA09">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一、工程质量保修范围和内容</w:t>
      </w:r>
    </w:p>
    <w:p w14:paraId="31B8FBB2">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承包人在质量保修期内，按照有关法律规定和合同约定，承担工程质量保修责任。</w:t>
      </w:r>
    </w:p>
    <w:p w14:paraId="3CDAB9A0">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3AA1C62">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p>
    <w:p w14:paraId="05793E00">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b/>
          <w:color w:val="000000"/>
          <w:sz w:val="24"/>
          <w:szCs w:val="24"/>
          <w:highlight w:val="none"/>
        </w:rPr>
        <w:t>　　</w:t>
      </w:r>
      <w:r>
        <w:rPr>
          <w:rFonts w:hint="eastAsia" w:ascii="仿宋" w:hAnsi="仿宋" w:eastAsia="仿宋" w:cs="仿宋"/>
          <w:color w:val="000000"/>
          <w:sz w:val="24"/>
          <w:szCs w:val="24"/>
          <w:highlight w:val="none"/>
        </w:rPr>
        <w:t>二、质量保修期</w:t>
      </w:r>
    </w:p>
    <w:p w14:paraId="26AD1FF4">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根据《建设工程质量管理条例》及有关规定，工程的质量保修期如下：</w:t>
      </w:r>
    </w:p>
    <w:p w14:paraId="56A34E5D">
      <w:pPr>
        <w:keepNext w:val="0"/>
        <w:keepLines w:val="0"/>
        <w:pageBreakBefore w:val="0"/>
        <w:widowControl w:val="0"/>
        <w:shd w:val="clear"/>
        <w:kinsoku/>
        <w:wordWrap/>
        <w:overflowPunct/>
        <w:topLinePunct w:val="0"/>
        <w:autoSpaceDE/>
        <w:autoSpaceDN/>
        <w:bidi w:val="0"/>
        <w:adjustRightInd/>
        <w:snapToGrid/>
        <w:ind w:firstLine="480" w:firstLineChars="200"/>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color w:val="000000"/>
          <w:sz w:val="24"/>
          <w:szCs w:val="24"/>
          <w:highlight w:val="none"/>
        </w:rPr>
        <w:t>．</w:t>
      </w:r>
      <w:r>
        <w:rPr>
          <w:rFonts w:hint="eastAsia" w:ascii="仿宋" w:hAnsi="仿宋" w:eastAsia="仿宋" w:cs="仿宋"/>
          <w:sz w:val="24"/>
          <w:szCs w:val="24"/>
          <w:highlight w:val="none"/>
        </w:rPr>
        <w:t>地基基础工程和主体结构工程为设计文件规定的工程合理使用年限；</w:t>
      </w:r>
    </w:p>
    <w:p w14:paraId="16366204">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屋面防水工程、有防水要求的卫生间、房间和外墙面的防渗为</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5</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年；</w:t>
      </w:r>
    </w:p>
    <w:p w14:paraId="58751D6F">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装修工程为</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2</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年；</w:t>
      </w:r>
    </w:p>
    <w:p w14:paraId="7F0DA7C5">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电气管线、给排水管道、设备安装工程为</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2</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年；</w:t>
      </w:r>
    </w:p>
    <w:p w14:paraId="0698552C">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5</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供热与供冷系统为</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2</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个采暖期、供冷期；</w:t>
      </w:r>
    </w:p>
    <w:p w14:paraId="4BC7A3F0">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6</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住宅小区内的给排水设施、道路等配套工程为</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2</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年；</w:t>
      </w:r>
    </w:p>
    <w:p w14:paraId="56B83A4E">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7</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其他项目保修期限约定如下：</w:t>
      </w:r>
    </w:p>
    <w:p w14:paraId="17C8544C">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p>
    <w:p w14:paraId="776E8162">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质量保修期自工程竣工验收合格之日起计算。</w:t>
      </w:r>
    </w:p>
    <w:p w14:paraId="7316DB68">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三、缺陷责任期</w:t>
      </w:r>
    </w:p>
    <w:p w14:paraId="6A8D0DFF">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工程缺陷责任期为</w:t>
      </w:r>
      <w:r>
        <w:rPr>
          <w:rFonts w:hint="eastAsia" w:ascii="仿宋" w:hAnsi="仿宋" w:eastAsia="仿宋" w:cs="仿宋"/>
          <w:color w:val="000000"/>
          <w:sz w:val="24"/>
          <w:szCs w:val="24"/>
          <w:highlight w:val="none"/>
          <w:u w:val="single"/>
          <w:lang w:val="en-US" w:eastAsia="zh-CN"/>
        </w:rPr>
        <w:t>12</w:t>
      </w:r>
      <w:r>
        <w:rPr>
          <w:rFonts w:hint="eastAsia" w:ascii="仿宋" w:hAnsi="仿宋" w:eastAsia="仿宋" w:cs="仿宋"/>
          <w:color w:val="000000"/>
          <w:sz w:val="24"/>
          <w:szCs w:val="24"/>
          <w:highlight w:val="none"/>
        </w:rPr>
        <w:t>个月，缺陷责任期自工程通过竣工验收之日起计算。单位工程先于全部工程进行验收，单位工程缺陷责任期自单位工程验收合格之日起算。</w:t>
      </w:r>
    </w:p>
    <w:p w14:paraId="3BAA9B27">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缺陷责任期终止后，发包人应退还剩余的质量保证金。</w:t>
      </w:r>
    </w:p>
    <w:p w14:paraId="15781BDE">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    四、质量保修责任</w:t>
      </w:r>
    </w:p>
    <w:p w14:paraId="6F4FBFE6">
      <w:pPr>
        <w:keepNext w:val="0"/>
        <w:keepLines w:val="0"/>
        <w:pageBreakBefore w:val="0"/>
        <w:widowControl w:val="0"/>
        <w:shd w:val="clear"/>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属于保修范围、内容的项目，承包人应当在接到保修通知之日起7天内派人保修。承包人不在约定期限内派人保修的，发包人可以委托他人修理。</w:t>
      </w:r>
    </w:p>
    <w:p w14:paraId="4E5D442A">
      <w:pPr>
        <w:keepNext w:val="0"/>
        <w:keepLines w:val="0"/>
        <w:pageBreakBefore w:val="0"/>
        <w:widowControl w:val="0"/>
        <w:shd w:val="clear"/>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发生紧急事故需抢修的，承包人在接到事故通知后，应当立即到达事故现场抢修。</w:t>
      </w:r>
    </w:p>
    <w:p w14:paraId="554F49D6">
      <w:pPr>
        <w:keepNext w:val="0"/>
        <w:keepLines w:val="0"/>
        <w:pageBreakBefore w:val="0"/>
        <w:widowControl w:val="0"/>
        <w:shd w:val="clear"/>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851302D">
      <w:pPr>
        <w:keepNext w:val="0"/>
        <w:keepLines w:val="0"/>
        <w:pageBreakBefore w:val="0"/>
        <w:widowControl w:val="0"/>
        <w:shd w:val="clear"/>
        <w:kinsoku/>
        <w:wordWrap/>
        <w:overflowPunct/>
        <w:topLinePunct w:val="0"/>
        <w:autoSpaceDE/>
        <w:autoSpaceDN/>
        <w:bidi w:val="0"/>
        <w:adjustRightInd/>
        <w:snapToGrid/>
        <w:spacing w:line="360" w:lineRule="auto"/>
        <w:ind w:left="420" w:leftChars="200" w:firstLine="120" w:firstLineChars="5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w:t>
      </w:r>
      <w:r>
        <w:rPr>
          <w:rFonts w:hint="eastAsia" w:ascii="仿宋" w:hAnsi="仿宋" w:eastAsia="仿宋" w:cs="仿宋"/>
          <w:sz w:val="24"/>
          <w:szCs w:val="24"/>
          <w:highlight w:val="none"/>
        </w:rPr>
        <w:t>．</w:t>
      </w:r>
      <w:r>
        <w:rPr>
          <w:rFonts w:hint="eastAsia" w:ascii="仿宋" w:hAnsi="仿宋" w:eastAsia="仿宋" w:cs="仿宋"/>
          <w:color w:val="000000"/>
          <w:sz w:val="24"/>
          <w:szCs w:val="24"/>
          <w:highlight w:val="none"/>
        </w:rPr>
        <w:t>质量保修完成后，由发包人组织验收。</w:t>
      </w:r>
    </w:p>
    <w:p w14:paraId="5FE8B6C8">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五、保修费用</w:t>
      </w:r>
    </w:p>
    <w:p w14:paraId="72F0C653">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保修费用由造成质量缺陷的责任方承担。</w:t>
      </w:r>
    </w:p>
    <w:p w14:paraId="76D6A2D0">
      <w:pPr>
        <w:keepNext w:val="0"/>
        <w:keepLines w:val="0"/>
        <w:pageBreakBefore w:val="0"/>
        <w:widowControl w:val="0"/>
        <w:shd w:val="clear"/>
        <w:kinsoku/>
        <w:wordWrap/>
        <w:overflowPunct/>
        <w:topLinePunct w:val="0"/>
        <w:autoSpaceDE/>
        <w:autoSpaceDN/>
        <w:bidi w:val="0"/>
        <w:adjustRightInd/>
        <w:snapToGrid/>
        <w:spacing w:line="360" w:lineRule="auto"/>
        <w:ind w:firstLine="600"/>
        <w:jc w:val="left"/>
        <w:textAlignment w:val="auto"/>
        <w:outlineLvl w:val="9"/>
        <w:rPr>
          <w:rFonts w:hint="eastAsia" w:ascii="仿宋" w:hAnsi="仿宋" w:eastAsia="仿宋" w:cs="仿宋"/>
          <w:color w:val="000000"/>
          <w:sz w:val="24"/>
          <w:szCs w:val="24"/>
          <w:highlight w:val="none"/>
          <w:u w:val="single"/>
        </w:rPr>
      </w:pPr>
      <w:r>
        <w:rPr>
          <w:rFonts w:hint="eastAsia" w:ascii="仿宋" w:hAnsi="仿宋" w:eastAsia="仿宋" w:cs="仿宋"/>
          <w:b/>
          <w:color w:val="000000"/>
          <w:sz w:val="24"/>
          <w:szCs w:val="24"/>
          <w:highlight w:val="none"/>
        </w:rPr>
        <w:t>六</w:t>
      </w:r>
      <w:r>
        <w:rPr>
          <w:rFonts w:hint="eastAsia" w:ascii="仿宋" w:hAnsi="仿宋" w:eastAsia="仿宋" w:cs="仿宋"/>
          <w:color w:val="000000"/>
          <w:sz w:val="24"/>
          <w:szCs w:val="24"/>
          <w:highlight w:val="none"/>
        </w:rPr>
        <w:t>、双方约定的其他工程质量保修事项：</w:t>
      </w:r>
      <w:r>
        <w:rPr>
          <w:rFonts w:hint="eastAsia" w:ascii="仿宋" w:hAnsi="仿宋" w:eastAsia="仿宋" w:cs="仿宋"/>
          <w:color w:val="000000"/>
          <w:sz w:val="24"/>
          <w:szCs w:val="24"/>
          <w:highlight w:val="none"/>
          <w:u w:val="single"/>
        </w:rPr>
        <w:t xml:space="preserve">                  </w:t>
      </w:r>
    </w:p>
    <w:p w14:paraId="4A9232B3">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p>
    <w:p w14:paraId="7E2196CD">
      <w:pPr>
        <w:keepNext w:val="0"/>
        <w:keepLines w:val="0"/>
        <w:pageBreakBefore w:val="0"/>
        <w:widowControl w:val="0"/>
        <w:shd w:val="clear"/>
        <w:kinsoku/>
        <w:wordWrap/>
        <w:overflowPunct/>
        <w:topLinePunct w:val="0"/>
        <w:autoSpaceDE/>
        <w:autoSpaceDN/>
        <w:bidi w:val="0"/>
        <w:adjustRightInd/>
        <w:snapToGrid/>
        <w:spacing w:line="360" w:lineRule="auto"/>
        <w:ind w:firstLine="456" w:firstLineChars="190"/>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工程质量保修书由发包人、承包人在工程竣工验收前共同签署，作为施工合同附件，其有效期限至保修期满。</w:t>
      </w:r>
    </w:p>
    <w:p w14:paraId="798E6B53">
      <w:pPr>
        <w:keepNext w:val="0"/>
        <w:keepLines w:val="0"/>
        <w:pageBreakBefore w:val="0"/>
        <w:widowControl w:val="0"/>
        <w:shd w:val="clear"/>
        <w:kinsoku/>
        <w:wordWrap/>
        <w:overflowPunct/>
        <w:topLinePunct w:val="0"/>
        <w:autoSpaceDE/>
        <w:autoSpaceDN/>
        <w:bidi w:val="0"/>
        <w:adjustRightInd/>
        <w:snapToGrid/>
        <w:spacing w:line="360" w:lineRule="auto"/>
        <w:ind w:firstLine="420"/>
        <w:textAlignment w:val="auto"/>
        <w:outlineLvl w:val="9"/>
        <w:rPr>
          <w:rFonts w:hint="eastAsia" w:ascii="仿宋" w:hAnsi="仿宋" w:eastAsia="仿宋" w:cs="仿宋"/>
          <w:color w:val="000000"/>
          <w:sz w:val="24"/>
          <w:szCs w:val="24"/>
          <w:highlight w:val="none"/>
        </w:rPr>
      </w:pPr>
    </w:p>
    <w:p w14:paraId="38A16795">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发包人(公章)：</w:t>
      </w:r>
      <w:r>
        <w:rPr>
          <w:rFonts w:hint="eastAsia" w:ascii="仿宋" w:hAnsi="仿宋" w:eastAsia="仿宋" w:cs="仿宋"/>
          <w:color w:val="000000"/>
          <w:sz w:val="24"/>
          <w:szCs w:val="24"/>
          <w:highlight w:val="none"/>
          <w:u w:val="single"/>
        </w:rPr>
        <w:t xml:space="preserve">        </w:t>
      </w:r>
      <w:r>
        <w:rPr>
          <w:rFonts w:hint="eastAsia" w:ascii="仿宋" w:hAnsi="仿宋" w:eastAsia="仿宋" w:cs="仿宋"/>
          <w:color w:val="000000"/>
          <w:sz w:val="24"/>
          <w:szCs w:val="24"/>
          <w:highlight w:val="none"/>
        </w:rPr>
        <w:t xml:space="preserve"> 承包人(公章)：</w:t>
      </w:r>
      <w:r>
        <w:rPr>
          <w:rFonts w:hint="eastAsia" w:ascii="仿宋" w:hAnsi="仿宋" w:eastAsia="仿宋" w:cs="仿宋"/>
          <w:color w:val="000000"/>
          <w:sz w:val="24"/>
          <w:szCs w:val="24"/>
          <w:highlight w:val="none"/>
          <w:u w:val="single"/>
        </w:rPr>
        <w:t xml:space="preserve">           </w:t>
      </w:r>
    </w:p>
    <w:p w14:paraId="77B3C56A">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地  址：</w:t>
      </w:r>
      <w:r>
        <w:rPr>
          <w:rFonts w:hint="eastAsia" w:ascii="仿宋" w:hAnsi="仿宋" w:eastAsia="仿宋" w:cs="仿宋"/>
          <w:color w:val="000000"/>
          <w:sz w:val="24"/>
          <w:szCs w:val="24"/>
          <w:highlight w:val="none"/>
          <w:u w:val="single"/>
        </w:rPr>
        <w:t xml:space="preserve">     </w:t>
      </w:r>
      <w:r>
        <w:rPr>
          <w:rFonts w:hint="eastAsia" w:ascii="仿宋" w:hAnsi="仿宋" w:eastAsia="仿宋" w:cs="仿宋"/>
          <w:color w:val="000000"/>
          <w:sz w:val="24"/>
          <w:szCs w:val="24"/>
          <w:highlight w:val="none"/>
        </w:rPr>
        <w:t xml:space="preserve"> 地  址：</w:t>
      </w:r>
      <w:r>
        <w:rPr>
          <w:rFonts w:hint="eastAsia" w:ascii="仿宋" w:hAnsi="仿宋" w:eastAsia="仿宋" w:cs="仿宋"/>
          <w:color w:val="000000"/>
          <w:sz w:val="24"/>
          <w:szCs w:val="24"/>
          <w:highlight w:val="none"/>
          <w:u w:val="single"/>
        </w:rPr>
        <w:t xml:space="preserve">       </w:t>
      </w:r>
    </w:p>
    <w:p w14:paraId="7657809D">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法定代表人(签字)：</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法定代表人(签字)：</w:t>
      </w:r>
      <w:r>
        <w:rPr>
          <w:rFonts w:hint="eastAsia" w:ascii="仿宋" w:hAnsi="仿宋" w:eastAsia="仿宋" w:cs="仿宋"/>
          <w:color w:val="000000"/>
          <w:sz w:val="24"/>
          <w:szCs w:val="24"/>
          <w:highlight w:val="none"/>
          <w:u w:val="single"/>
        </w:rPr>
        <w:t xml:space="preserve">       </w:t>
      </w:r>
    </w:p>
    <w:p w14:paraId="067CF0BB">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委托代理人(签字)：</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委托代理人(签字)：</w:t>
      </w:r>
      <w:r>
        <w:rPr>
          <w:rFonts w:hint="eastAsia" w:ascii="仿宋" w:hAnsi="仿宋" w:eastAsia="仿宋" w:cs="仿宋"/>
          <w:color w:val="000000"/>
          <w:sz w:val="24"/>
          <w:szCs w:val="24"/>
          <w:highlight w:val="none"/>
          <w:u w:val="single"/>
        </w:rPr>
        <w:t xml:space="preserve">       </w:t>
      </w:r>
    </w:p>
    <w:p w14:paraId="72E244DA">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电  话：</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电  话：</w:t>
      </w:r>
      <w:r>
        <w:rPr>
          <w:rFonts w:hint="eastAsia" w:ascii="仿宋" w:hAnsi="仿宋" w:eastAsia="仿宋" w:cs="仿宋"/>
          <w:color w:val="000000"/>
          <w:sz w:val="24"/>
          <w:szCs w:val="24"/>
          <w:highlight w:val="none"/>
          <w:u w:val="single"/>
        </w:rPr>
        <w:t xml:space="preserve">     </w:t>
      </w:r>
    </w:p>
    <w:p w14:paraId="5FF8DB29">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传  真：</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传  真：</w:t>
      </w:r>
      <w:r>
        <w:rPr>
          <w:rFonts w:hint="eastAsia" w:ascii="仿宋" w:hAnsi="仿宋" w:eastAsia="仿宋" w:cs="仿宋"/>
          <w:color w:val="000000"/>
          <w:sz w:val="24"/>
          <w:szCs w:val="24"/>
          <w:highlight w:val="none"/>
          <w:u w:val="single"/>
        </w:rPr>
        <w:t xml:space="preserve">     </w:t>
      </w:r>
    </w:p>
    <w:p w14:paraId="22AF74FA">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开户银行：</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 xml:space="preserve"> 开户银行：</w:t>
      </w:r>
      <w:r>
        <w:rPr>
          <w:rFonts w:hint="eastAsia" w:ascii="仿宋" w:hAnsi="仿宋" w:eastAsia="仿宋" w:cs="仿宋"/>
          <w:color w:val="000000"/>
          <w:sz w:val="24"/>
          <w:szCs w:val="24"/>
          <w:highlight w:val="none"/>
          <w:u w:val="single"/>
        </w:rPr>
        <w:t xml:space="preserve">   </w:t>
      </w:r>
    </w:p>
    <w:p w14:paraId="0DD22418">
      <w:pPr>
        <w:keepNext w:val="0"/>
        <w:keepLines w:val="0"/>
        <w:pageBreakBefore w:val="0"/>
        <w:widowControl w:val="0"/>
        <w:shd w:val="clear"/>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账  号：</w:t>
      </w:r>
      <w:r>
        <w:rPr>
          <w:rFonts w:hint="eastAsia" w:ascii="仿宋" w:hAnsi="仿宋" w:eastAsia="仿宋" w:cs="仿宋"/>
          <w:color w:val="000000"/>
          <w:sz w:val="24"/>
          <w:szCs w:val="24"/>
          <w:highlight w:val="none"/>
          <w:u w:val="single"/>
        </w:rPr>
        <w:t xml:space="preserve">       </w:t>
      </w:r>
      <w:r>
        <w:rPr>
          <w:rFonts w:hint="eastAsia" w:ascii="仿宋" w:hAnsi="仿宋" w:eastAsia="仿宋" w:cs="仿宋"/>
          <w:color w:val="000000"/>
          <w:sz w:val="24"/>
          <w:szCs w:val="24"/>
          <w:highlight w:val="none"/>
        </w:rPr>
        <w:t xml:space="preserve">  账  号：</w:t>
      </w:r>
      <w:r>
        <w:rPr>
          <w:rFonts w:hint="eastAsia" w:ascii="仿宋" w:hAnsi="仿宋" w:eastAsia="仿宋" w:cs="仿宋"/>
          <w:color w:val="000000"/>
          <w:sz w:val="24"/>
          <w:szCs w:val="24"/>
          <w:highlight w:val="none"/>
          <w:u w:val="single"/>
        </w:rPr>
        <w:t xml:space="preserve">     </w:t>
      </w:r>
    </w:p>
    <w:p w14:paraId="4880D3D5">
      <w:pPr>
        <w:shd w:val="clear"/>
      </w:pPr>
      <w:r>
        <w:rPr>
          <w:rFonts w:hint="eastAsia" w:ascii="仿宋" w:hAnsi="仿宋" w:eastAsia="仿宋" w:cs="仿宋"/>
          <w:color w:val="000000"/>
          <w:sz w:val="24"/>
          <w:szCs w:val="24"/>
          <w:highlight w:val="none"/>
        </w:rPr>
        <w:t>邮政编码：</w:t>
      </w:r>
      <w:r>
        <w:rPr>
          <w:rFonts w:hint="eastAsia" w:ascii="仿宋" w:hAnsi="仿宋" w:eastAsia="仿宋" w:cs="仿宋"/>
          <w:color w:val="000000"/>
          <w:sz w:val="24"/>
          <w:szCs w:val="24"/>
          <w:highlight w:val="none"/>
          <w:u w:val="single"/>
        </w:rPr>
        <w:t xml:space="preserve">     </w:t>
      </w:r>
      <w:r>
        <w:rPr>
          <w:rFonts w:hint="eastAsia" w:ascii="仿宋" w:hAnsi="仿宋" w:eastAsia="仿宋" w:cs="仿宋"/>
          <w:color w:val="000000"/>
          <w:sz w:val="24"/>
          <w:szCs w:val="24"/>
          <w:highlight w:val="none"/>
        </w:rPr>
        <w:t xml:space="preserve"> 邮政编码：</w:t>
      </w:r>
      <w:r>
        <w:rPr>
          <w:rFonts w:hint="eastAsia" w:ascii="仿宋" w:hAnsi="仿宋" w:eastAsia="仿宋" w:cs="仿宋"/>
          <w:color w:val="000000"/>
          <w:sz w:val="24"/>
          <w:szCs w:val="24"/>
          <w:highlight w:val="none"/>
          <w:u w:val="single"/>
        </w:rPr>
        <w:t xml:space="preserve">   </w:t>
      </w:r>
      <w:bookmarkStart w:id="7" w:name="_GoBack"/>
      <w:bookmarkEnd w:id="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127926"/>
    <w:rsid w:val="05F76C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after="120"/>
    </w:pPr>
  </w:style>
  <w:style w:type="paragraph" w:styleId="3">
    <w:name w:val="Body Text Indent"/>
    <w:basedOn w:val="1"/>
    <w:qFormat/>
    <w:uiPriority w:val="0"/>
    <w:pPr>
      <w:widowControl/>
      <w:ind w:firstLine="652" w:firstLineChars="233"/>
    </w:pPr>
    <w:rPr>
      <w:rFonts w:ascii="Times New Roman"/>
      <w:sz w:val="28"/>
    </w:rPr>
  </w:style>
  <w:style w:type="paragraph" w:styleId="4">
    <w:name w:val="Plain Text"/>
    <w:basedOn w:val="1"/>
    <w:qFormat/>
    <w:uiPriority w:val="99"/>
    <w:rPr>
      <w:rFonts w:ascii="宋体" w:hAnsi="Courier New" w:cs="宋体"/>
    </w:rPr>
  </w:style>
  <w:style w:type="paragraph" w:styleId="5">
    <w:name w:val="Body Text First Indent 2"/>
    <w:basedOn w:val="3"/>
    <w:qFormat/>
    <w:uiPriority w:val="0"/>
    <w:pPr>
      <w:widowControl w:val="0"/>
      <w:spacing w:after="120" w:line="240" w:lineRule="auto"/>
      <w:ind w:left="420" w:leftChars="200" w:firstLine="420" w:firstLineChars="200"/>
      <w:jc w:val="both"/>
    </w:pPr>
    <w:rPr>
      <w:rFonts w:ascii="Times New Roman" w:hAnsi="Times New Roman" w:eastAsia="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2025-04-17T04:06:26Z</dcterms:created>
  <dc:creator>Administrator</dc:creator>
  <cp:lastModifiedBy>doit</cp:lastModifiedBy>
  <dcterms:modified xsi:type="dcterms:W3CDTF">2025-04-17T04:06:45Z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eyJoZGlkIjoiYWE4NTg4OGM5ZTRmYjgwOGY2MzUwOWJjMjZlOWIxNmIiLCJ1c2VySWQiOiI1NDQyNTk1OTUifQ==</vt:lpwstr>
  </property>
  <property fmtid="{D5CDD505-2E9C-101B-9397-08002B2CF9AE}" pid="4" name="ICV">
    <vt:lpwstr>C7F287C355A6424DB74BA91DD5AE4223_12</vt:lpwstr>
  </property>
</Properties>
</file>