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bookmarkStart w:id="0" w:name="_Toc17961"/>
      <w:bookmarkStart w:id="1" w:name="_Toc1399"/>
      <w:bookmarkStart w:id="9" w:name="_GoBack"/>
      <w:r>
        <w:rPr>
          <w:rFonts w:hint="eastAsia" w:ascii="宋体" w:hAnsi="宋体" w:eastAsia="宋体" w:cs="宋体"/>
          <w:b/>
          <w:bCs/>
          <w:color w:val="auto"/>
          <w:sz w:val="28"/>
          <w:szCs w:val="28"/>
          <w:highlight w:val="none"/>
          <w:lang w:val="zh-CN"/>
        </w:rPr>
        <w:t>合同条款及格式（参考）</w:t>
      </w:r>
      <w:bookmarkEnd w:id="0"/>
      <w:bookmarkEnd w:id="1"/>
    </w:p>
    <w:p>
      <w:pPr>
        <w:widowControl w:val="0"/>
        <w:tabs>
          <w:tab w:val="left" w:pos="735"/>
        </w:tabs>
        <w:autoSpaceDE w:val="0"/>
        <w:autoSpaceDN w:val="0"/>
        <w:adjustRightInd w:val="0"/>
        <w:snapToGrid w:val="0"/>
        <w:spacing w:before="420" w:beforeLines="100" w:line="360" w:lineRule="auto"/>
        <w:ind w:firstLine="629"/>
        <w:jc w:val="both"/>
        <w:rPr>
          <w:rFonts w:hint="eastAsia" w:ascii="宋体" w:hAnsi="宋体" w:eastAsia="宋体" w:cs="宋体"/>
          <w:b/>
          <w:bCs/>
          <w:color w:val="auto"/>
          <w:kern w:val="2"/>
          <w:highlight w:val="none"/>
          <w:lang w:val="zh-CN"/>
        </w:rPr>
      </w:pPr>
      <w:r>
        <w:rPr>
          <w:rFonts w:hint="eastAsia" w:ascii="宋体" w:hAnsi="宋体" w:eastAsia="宋体" w:cs="宋体"/>
          <w:b/>
          <w:bCs/>
          <w:color w:val="auto"/>
          <w:kern w:val="2"/>
          <w:highlight w:val="none"/>
          <w:lang w:val="zh-CN"/>
        </w:rPr>
        <w:t>甲方：</w:t>
      </w:r>
      <w:r>
        <w:rPr>
          <w:rFonts w:hint="eastAsia" w:ascii="宋体" w:hAnsi="宋体" w:eastAsia="宋体" w:cs="宋体"/>
          <w:bCs/>
          <w:color w:val="auto"/>
          <w:kern w:val="2"/>
          <w:highlight w:val="none"/>
          <w:lang w:val="zh-CN"/>
        </w:rPr>
        <w:t>（前款所称采购人）     住所：</w:t>
      </w:r>
    </w:p>
    <w:p>
      <w:pPr>
        <w:widowControl w:val="0"/>
        <w:tabs>
          <w:tab w:val="left" w:pos="735"/>
        </w:tabs>
        <w:autoSpaceDE w:val="0"/>
        <w:autoSpaceDN w:val="0"/>
        <w:adjustRightInd w:val="0"/>
        <w:snapToGrid w:val="0"/>
        <w:spacing w:line="360" w:lineRule="auto"/>
        <w:ind w:firstLine="631"/>
        <w:jc w:val="both"/>
        <w:rPr>
          <w:rFonts w:hint="eastAsia" w:ascii="宋体" w:hAnsi="宋体" w:eastAsia="宋体" w:cs="宋体"/>
          <w:bCs/>
          <w:color w:val="auto"/>
          <w:kern w:val="2"/>
          <w:highlight w:val="none"/>
          <w:lang w:val="zh-CN"/>
        </w:rPr>
      </w:pPr>
      <w:r>
        <w:rPr>
          <w:rFonts w:hint="eastAsia" w:ascii="宋体" w:hAnsi="宋体" w:eastAsia="宋体" w:cs="宋体"/>
          <w:b/>
          <w:bCs/>
          <w:color w:val="auto"/>
          <w:kern w:val="2"/>
          <w:highlight w:val="none"/>
          <w:lang w:val="zh-CN"/>
        </w:rPr>
        <w:t>乙方：</w:t>
      </w:r>
      <w:r>
        <w:rPr>
          <w:rFonts w:hint="eastAsia" w:ascii="宋体" w:hAnsi="宋体" w:eastAsia="宋体" w:cs="宋体"/>
          <w:bCs/>
          <w:color w:val="auto"/>
          <w:kern w:val="2"/>
          <w:highlight w:val="none"/>
          <w:lang w:val="zh-CN"/>
        </w:rPr>
        <w:t>（前款所称中标人）     住所：</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2" w:name="_Toc19515384"/>
      <w:r>
        <w:rPr>
          <w:rFonts w:hint="eastAsia" w:ascii="宋体" w:hAnsi="宋体" w:eastAsia="宋体" w:cs="宋体"/>
          <w:b/>
          <w:color w:val="auto"/>
          <w:kern w:val="2"/>
          <w:highlight w:val="none"/>
        </w:rPr>
        <w:t>一、合同内容（标的、数量、质量等）:</w:t>
      </w:r>
      <w:bookmarkEnd w:id="2"/>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3" w:name="_Toc19515385"/>
      <w:r>
        <w:rPr>
          <w:rFonts w:hint="eastAsia" w:ascii="宋体" w:hAnsi="宋体" w:eastAsia="宋体" w:cs="宋体"/>
          <w:b/>
          <w:color w:val="auto"/>
          <w:kern w:val="2"/>
          <w:highlight w:val="none"/>
        </w:rPr>
        <w:t>二、合同价款</w:t>
      </w:r>
      <w:bookmarkEnd w:id="3"/>
    </w:p>
    <w:p>
      <w:pPr>
        <w:widowControl w:val="0"/>
        <w:adjustRightInd w:val="0"/>
        <w:snapToGrid w:val="0"/>
        <w:spacing w:line="360" w:lineRule="auto"/>
        <w:ind w:firstLine="440" w:firstLineChars="200"/>
        <w:jc w:val="both"/>
        <w:rPr>
          <w:rFonts w:hint="default" w:ascii="宋体" w:hAnsi="宋体" w:eastAsia="宋体" w:cs="宋体"/>
          <w:color w:val="auto"/>
          <w:kern w:val="2"/>
          <w:highlight w:val="none"/>
          <w:u w:val="single"/>
          <w:lang w:val="en-US" w:eastAsia="zh-CN"/>
        </w:rPr>
      </w:pPr>
      <w:r>
        <w:rPr>
          <w:rFonts w:hint="eastAsia" w:ascii="宋体" w:hAnsi="宋体" w:eastAsia="宋体" w:cs="宋体"/>
          <w:color w:val="auto"/>
          <w:kern w:val="2"/>
          <w:highlight w:val="none"/>
        </w:rPr>
        <w:t>1、合同总价：</w:t>
      </w:r>
      <w:r>
        <w:rPr>
          <w:rFonts w:hint="eastAsia" w:ascii="宋体" w:hAnsi="宋体" w:eastAsia="宋体" w:cs="宋体"/>
          <w:color w:val="auto"/>
          <w:kern w:val="2"/>
          <w:highlight w:val="none"/>
          <w:u w:val="single"/>
          <w:lang w:val="en-US" w:eastAsia="zh-CN"/>
        </w:rPr>
        <w:t xml:space="preserve">                </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2、合同总价包括：考试、面试、体检等一切相关费用。</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3、合同总价一次包死，不受市场价变化的影响。</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4" w:name="_Toc19515386"/>
      <w:r>
        <w:rPr>
          <w:rFonts w:hint="eastAsia" w:ascii="宋体" w:hAnsi="宋体" w:eastAsia="宋体" w:cs="宋体"/>
          <w:b/>
          <w:color w:val="auto"/>
          <w:kern w:val="2"/>
          <w:highlight w:val="none"/>
        </w:rPr>
        <w:t>三、合同结算</w:t>
      </w:r>
      <w:bookmarkEnd w:id="4"/>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w:t>
      </w:r>
      <w:bookmarkStart w:id="5" w:name="_Toc19515387"/>
      <w:r>
        <w:rPr>
          <w:rFonts w:hint="eastAsia" w:ascii="宋体" w:hAnsi="宋体" w:eastAsia="宋体" w:cs="宋体"/>
          <w:color w:val="auto"/>
          <w:kern w:val="2"/>
          <w:highlight w:val="none"/>
        </w:rPr>
        <w:t>资金支付条件及时间：</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1-1、</w:t>
      </w:r>
      <w:r>
        <w:rPr>
          <w:rFonts w:hint="eastAsia" w:asciiTheme="minorHAnsi" w:hAnsiTheme="minorHAnsi" w:eastAsiaTheme="minorEastAsia" w:cstheme="minorBidi"/>
          <w:b w:val="0"/>
          <w:bCs w:val="0"/>
          <w:color w:val="auto"/>
          <w:kern w:val="0"/>
          <w:sz w:val="21"/>
          <w:szCs w:val="21"/>
          <w:highlight w:val="none"/>
          <w:lang w:val="en-US" w:eastAsia="zh-CN"/>
        </w:rPr>
        <w:t>合同签订后，甲方支付合同总价款的40%作为预付款</w:t>
      </w:r>
      <w:r>
        <w:rPr>
          <w:rFonts w:hint="eastAsia" w:ascii="宋体" w:hAnsi="宋体" w:eastAsia="宋体" w:cs="宋体"/>
          <w:color w:val="auto"/>
          <w:kern w:val="2"/>
          <w:highlight w:val="none"/>
        </w:rPr>
        <w:t>。</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1-2、</w:t>
      </w:r>
      <w:r>
        <w:rPr>
          <w:rFonts w:hint="eastAsia" w:asciiTheme="minorHAnsi" w:hAnsiTheme="minorHAnsi" w:eastAsiaTheme="minorEastAsia" w:cstheme="minorBidi"/>
          <w:b w:val="0"/>
          <w:bCs w:val="0"/>
          <w:color w:val="auto"/>
          <w:kern w:val="0"/>
          <w:sz w:val="21"/>
          <w:szCs w:val="21"/>
          <w:highlight w:val="none"/>
          <w:lang w:val="en-US" w:eastAsia="zh-CN"/>
        </w:rPr>
        <w:t>招聘服务结束经甲方验收合格后，支付剩余合同价款</w:t>
      </w:r>
      <w:r>
        <w:rPr>
          <w:rFonts w:hint="eastAsia" w:ascii="宋体" w:hAnsi="宋体" w:eastAsia="宋体" w:cs="宋体"/>
          <w:color w:val="auto"/>
          <w:kern w:val="2"/>
          <w:sz w:val="22"/>
          <w:szCs w:val="28"/>
          <w:highlight w:val="none"/>
        </w:rPr>
        <w:t>。</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2、结算方式：银行转账。</w:t>
      </w:r>
    </w:p>
    <w:p>
      <w:pPr>
        <w:widowControl w:val="0"/>
        <w:adjustRightInd w:val="0"/>
        <w:snapToGrid w:val="0"/>
        <w:spacing w:line="360" w:lineRule="auto"/>
        <w:ind w:firstLine="440" w:firstLineChars="200"/>
        <w:jc w:val="both"/>
        <w:rPr>
          <w:rFonts w:hint="eastAsia" w:ascii="宋体" w:hAnsi="宋体" w:eastAsia="宋体" w:cs="宋体"/>
          <w:color w:val="auto"/>
          <w:highlight w:val="none"/>
        </w:rPr>
      </w:pPr>
      <w:r>
        <w:rPr>
          <w:rFonts w:hint="eastAsia" w:ascii="宋体" w:hAnsi="宋体" w:eastAsia="宋体" w:cs="宋体"/>
          <w:color w:val="auto"/>
          <w:kern w:val="2"/>
          <w:highlight w:val="none"/>
        </w:rPr>
        <w:t>3、结算单位：由甲方负责结算，乙方根据支付比例开具当次结算合同价款的发票交甲方。</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四、履行期限、地点及方式</w:t>
      </w:r>
      <w:bookmarkEnd w:id="5"/>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1、履行期限：</w:t>
      </w:r>
      <w:r>
        <w:rPr>
          <w:rFonts w:hint="eastAsia" w:asciiTheme="minorHAnsi" w:hAnsiTheme="minorHAnsi" w:eastAsiaTheme="minorEastAsia" w:cstheme="minorBidi"/>
          <w:b w:val="0"/>
          <w:bCs w:val="0"/>
          <w:color w:val="auto"/>
          <w:kern w:val="0"/>
          <w:sz w:val="21"/>
          <w:szCs w:val="21"/>
          <w:highlight w:val="none"/>
          <w:lang w:val="en-US" w:eastAsia="zh-CN"/>
        </w:rPr>
        <w:t>合同签订后至202</w:t>
      </w:r>
      <w:r>
        <w:rPr>
          <w:rFonts w:hint="eastAsia" w:cstheme="minorBidi"/>
          <w:b w:val="0"/>
          <w:bCs w:val="0"/>
          <w:color w:val="auto"/>
          <w:kern w:val="0"/>
          <w:sz w:val="21"/>
          <w:szCs w:val="21"/>
          <w:highlight w:val="none"/>
          <w:lang w:val="en-US" w:eastAsia="zh-CN"/>
        </w:rPr>
        <w:t>5</w:t>
      </w:r>
      <w:r>
        <w:rPr>
          <w:rFonts w:hint="eastAsia" w:asciiTheme="minorHAnsi" w:hAnsiTheme="minorHAnsi" w:eastAsiaTheme="minorEastAsia" w:cstheme="minorBidi"/>
          <w:b w:val="0"/>
          <w:bCs w:val="0"/>
          <w:color w:val="auto"/>
          <w:kern w:val="0"/>
          <w:sz w:val="21"/>
          <w:szCs w:val="21"/>
          <w:highlight w:val="none"/>
          <w:lang w:val="en-US" w:eastAsia="zh-CN"/>
        </w:rPr>
        <w:t>年7月30日前完成招聘服务</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2、地点：按照采购人要求</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3、方式：按照采购人要求</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五、服务内容：</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乙方为甲方提供线上及线下招聘及人力资源相关服务。负责资格复审</w:t>
      </w:r>
      <w:r>
        <w:rPr>
          <w:rFonts w:hint="eastAsia" w:ascii="宋体" w:hAnsi="宋体" w:eastAsia="宋体" w:cs="宋体"/>
          <w:color w:val="auto"/>
          <w:kern w:val="2"/>
          <w:highlight w:val="none"/>
          <w:lang w:eastAsia="zh-CN"/>
        </w:rPr>
        <w:t>、</w:t>
      </w:r>
      <w:r>
        <w:rPr>
          <w:rFonts w:hint="eastAsia" w:ascii="宋体" w:hAnsi="宋体" w:eastAsia="宋体" w:cs="宋体"/>
          <w:color w:val="auto"/>
          <w:kern w:val="2"/>
          <w:highlight w:val="none"/>
        </w:rPr>
        <w:t>面试组织、征信调查、体能测试及无犯罪记录排查、落聘临聘人员培训评估工作及其他人力资源相关增值服务。</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在上述服务的基础上，乙方向甲方提供与甲方人才招聘相关的服务，包括但不限于：</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（1）笔试组织与笔试题目采购；并对从出题到笔试实施所涉及的保密信息均予以有效保护，甲方予以监督；</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（2）针对通过笔试候选人进行电话邀约面试；</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（3）面试组织与面试题目采购；并对从出题到面试实施所涉及的保密信息均予以有效保护，甲方予以监督；</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（4）按照甲方要求聘请面试专家；</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（5）组织工作人员提供资格审查、笔试、面试支持；</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（6）为甲方及时提供本项目进展信息。</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六、验收</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1、验收依据：</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1-1、合同文本、合同附件、招标文件、投标文件。</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6" w:name="_Toc19515393"/>
      <w:r>
        <w:rPr>
          <w:rFonts w:hint="eastAsia" w:ascii="宋体" w:hAnsi="宋体" w:eastAsia="宋体" w:cs="宋体"/>
          <w:b/>
          <w:color w:val="auto"/>
          <w:kern w:val="2"/>
          <w:highlight w:val="none"/>
        </w:rPr>
        <w:t>七、甲方的权利和义务</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1、甲方有权督促乙方完成合同中协议的所有工作内容及其工作进度；</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2、甲方应主动提供有利于项目顺利执行实施的相关资源及便利；</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3、甲方有权向乙方提出整改建议和意见。</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4、甲方负责监督、检查乙方提供服务的工作进度、质量情况。</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八、乙方的权利和义务</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1、对本合同规定的委托范围内的项目享有管理权及服务义务。</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2、根据本合同的规定向甲方收取相关服务费用，并有权在本项目管理范围内管理及合理使用。</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3、及时向甲方通告本项目执行范围内有关的重大事项，及时配合处理投诉。</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4、接受项目行业管理部门及政府有关部门的指导，接受甲方的监督。</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5、国家法律、法规所规定由乙方承担的其它责任。</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九、违约责任</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1、违约责任按《中华人民共和国民法典》处理中的相关条款执行。</w:t>
      </w:r>
    </w:p>
    <w:bookmarkEnd w:id="6"/>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乙方应按合同约定时间完成各阶段合同义务，若发生延迟或服务质量未达标，甲方有权扣除合同总价款1%至20%的违约金，且甲方有权单方解除本合同。乙方未按照合同要求的任务完成任一项，甲方有权要求乙方承担该项违约责任，违约责任以合同总金额的10%计算。但甲方书面同意延迟或因甲方原因导致延迟的，乙方不承担违约责任。</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3、若乙方未能按照甲方提出的整改建议和意见及时进行修正服务方案，按违约处理，甲方有权扣除合同总价款1%至20%的违约金，且甲方有权单方解除本合同。</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4、如甲方未能在本合同约定时间内支付款项，每延迟一天，甲方须向乙方承担迟延支付费用的0.5‰作为违约金，并将服务周期予以相应顺延。</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5、若乙方未经甲方同意泄露本合同约定的任何秘密信息的，乙方应按照合同总价款的10%向甲方支付违约金，并赔偿因此给甲方造成的损失。</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十、不可抗力事件处理</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十一、合同组成</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1、中标通知书</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2、合同文件</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3、国家相关规范及标准</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4、招标文件</w:t>
      </w:r>
    </w:p>
    <w:p>
      <w:pPr>
        <w:widowControl w:val="0"/>
        <w:adjustRightInd w:val="0"/>
        <w:snapToGrid w:val="0"/>
        <w:spacing w:line="360" w:lineRule="auto"/>
        <w:ind w:firstLine="44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5、投标文件</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7" w:name="_Toc19515394"/>
      <w:r>
        <w:rPr>
          <w:rFonts w:hint="eastAsia" w:ascii="宋体" w:hAnsi="宋体" w:eastAsia="宋体" w:cs="宋体"/>
          <w:b/>
          <w:color w:val="auto"/>
          <w:kern w:val="2"/>
          <w:highlight w:val="none"/>
        </w:rPr>
        <w:t>十二、解决争议的方法</w:t>
      </w:r>
      <w:bookmarkEnd w:id="7"/>
    </w:p>
    <w:p>
      <w:pPr>
        <w:autoSpaceDE w:val="0"/>
        <w:autoSpaceDN w:val="0"/>
        <w:snapToGrid w:val="0"/>
        <w:spacing w:line="360" w:lineRule="auto"/>
        <w:ind w:right="-110" w:firstLine="440" w:firstLineChars="200"/>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凡因本合同引起的或与本合同有关的争议，双方应友好协商解决。协商不成时，甲、乙双方均同意向甲方所在地人民法院提起诉讼解决。</w:t>
      </w:r>
    </w:p>
    <w:p>
      <w:pPr>
        <w:widowControl w:val="0"/>
        <w:adjustRightInd w:val="0"/>
        <w:snapToGrid w:val="0"/>
        <w:spacing w:line="360" w:lineRule="auto"/>
        <w:ind w:firstLine="442" w:firstLineChars="200"/>
        <w:jc w:val="both"/>
        <w:rPr>
          <w:rFonts w:hint="eastAsia" w:ascii="宋体" w:hAnsi="宋体" w:eastAsia="宋体" w:cs="宋体"/>
          <w:b/>
          <w:color w:val="auto"/>
          <w:kern w:val="2"/>
          <w:highlight w:val="none"/>
        </w:rPr>
      </w:pPr>
      <w:bookmarkStart w:id="8" w:name="_Toc19515395"/>
      <w:r>
        <w:rPr>
          <w:rFonts w:hint="eastAsia" w:ascii="宋体" w:hAnsi="宋体" w:eastAsia="宋体" w:cs="宋体"/>
          <w:b/>
          <w:color w:val="auto"/>
          <w:kern w:val="2"/>
          <w:highlight w:val="none"/>
        </w:rPr>
        <w:t>十三、合同生效及其它</w:t>
      </w:r>
      <w:bookmarkEnd w:id="8"/>
    </w:p>
    <w:p>
      <w:pPr>
        <w:autoSpaceDE w:val="0"/>
        <w:autoSpaceDN w:val="0"/>
        <w:snapToGrid w:val="0"/>
        <w:spacing w:line="360" w:lineRule="auto"/>
        <w:ind w:right="-110" w:firstLine="440" w:firstLineChars="200"/>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1、合同未尽事宜、由甲、乙双方协商，作为合同补充，与原合同具有同等法律效力。</w:t>
      </w:r>
    </w:p>
    <w:p>
      <w:pPr>
        <w:tabs>
          <w:tab w:val="left" w:pos="8391"/>
        </w:tabs>
        <w:autoSpaceDE w:val="0"/>
        <w:autoSpaceDN w:val="0"/>
        <w:snapToGrid w:val="0"/>
        <w:spacing w:line="360" w:lineRule="auto"/>
        <w:ind w:right="-69" w:firstLine="440" w:firstLineChars="200"/>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2、 本合同一式</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份，甲方、乙方双方分别执</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份，</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备案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份。</w:t>
      </w:r>
    </w:p>
    <w:p>
      <w:pPr>
        <w:tabs>
          <w:tab w:val="left" w:pos="8391"/>
        </w:tabs>
        <w:autoSpaceDE w:val="0"/>
        <w:autoSpaceDN w:val="0"/>
        <w:snapToGrid w:val="0"/>
        <w:spacing w:line="360" w:lineRule="auto"/>
        <w:ind w:right="-69" w:firstLine="440" w:firstLineChars="200"/>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3、合同经甲乙双方盖章、签字后生效，合同签订地点为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tabs>
          <w:tab w:val="left" w:pos="8391"/>
        </w:tabs>
        <w:autoSpaceDE w:val="0"/>
        <w:autoSpaceDN w:val="0"/>
        <w:snapToGrid w:val="0"/>
        <w:spacing w:line="360" w:lineRule="auto"/>
        <w:ind w:right="-69" w:firstLine="440" w:firstLineChars="200"/>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4、生效时间：   年  月  日</w:t>
      </w:r>
    </w:p>
    <w:tbl>
      <w:tblPr>
        <w:tblStyle w:val="5"/>
        <w:tblpPr w:leftFromText="180" w:rightFromText="180" w:vertAnchor="text" w:horzAnchor="page" w:tblpX="1908" w:tblpY="454"/>
        <w:tblOverlap w:val="never"/>
        <w:tblW w:w="0" w:type="auto"/>
        <w:tblInd w:w="0" w:type="dxa"/>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c>
          <w:tcPr>
            <w:tcW w:w="4643" w:type="dxa"/>
          </w:tcPr>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甲方名称</w:t>
            </w:r>
            <w:r>
              <w:rPr>
                <w:rFonts w:hint="eastAsia" w:ascii="宋体" w:hAnsi="宋体" w:eastAsia="宋体" w:cs="宋体"/>
                <w:color w:val="auto"/>
                <w:spacing w:val="-20"/>
                <w:highlight w:val="none"/>
              </w:rPr>
              <w:t>（盖章）</w:t>
            </w:r>
            <w:r>
              <w:rPr>
                <w:rFonts w:hint="eastAsia" w:ascii="宋体" w:hAnsi="宋体" w:eastAsia="宋体" w:cs="宋体"/>
                <w:color w:val="auto"/>
                <w:highlight w:val="none"/>
              </w:rPr>
              <w:t>:</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地址：</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代表人（签字）：</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电话：</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开户银行：</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帐号：</w:t>
            </w:r>
          </w:p>
        </w:tc>
        <w:tc>
          <w:tcPr>
            <w:tcW w:w="4643" w:type="dxa"/>
          </w:tcPr>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乙方名称</w:t>
            </w:r>
            <w:r>
              <w:rPr>
                <w:rFonts w:hint="eastAsia" w:ascii="宋体" w:hAnsi="宋体" w:eastAsia="宋体" w:cs="宋体"/>
                <w:color w:val="auto"/>
                <w:spacing w:val="-20"/>
                <w:highlight w:val="none"/>
              </w:rPr>
              <w:t>（盖章）</w:t>
            </w:r>
            <w:r>
              <w:rPr>
                <w:rFonts w:hint="eastAsia" w:ascii="宋体" w:hAnsi="宋体" w:eastAsia="宋体" w:cs="宋体"/>
                <w:color w:val="auto"/>
                <w:highlight w:val="none"/>
              </w:rPr>
              <w:t>:</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地址：</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代表人（签字）：</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电话：</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开户银行：</w:t>
            </w:r>
          </w:p>
          <w:p>
            <w:pPr>
              <w:autoSpaceDE w:val="0"/>
              <w:autoSpaceDN w:val="0"/>
              <w:snapToGrid w:val="0"/>
              <w:spacing w:line="360" w:lineRule="auto"/>
              <w:ind w:right="-154"/>
              <w:jc w:val="both"/>
              <w:textAlignment w:val="bottom"/>
              <w:rPr>
                <w:rFonts w:hint="eastAsia" w:ascii="宋体" w:hAnsi="宋体" w:eastAsia="宋体" w:cs="宋体"/>
                <w:color w:val="auto"/>
                <w:highlight w:val="none"/>
              </w:rPr>
            </w:pPr>
            <w:r>
              <w:rPr>
                <w:rFonts w:hint="eastAsia" w:ascii="宋体" w:hAnsi="宋体" w:eastAsia="宋体" w:cs="宋体"/>
                <w:color w:val="auto"/>
                <w:highlight w:val="none"/>
              </w:rPr>
              <w:t>帐号：</w:t>
            </w:r>
          </w:p>
        </w:tc>
      </w:tr>
    </w:tbl>
    <w:p>
      <w:pPr>
        <w:pStyle w:val="8"/>
        <w:rPr>
          <w:rFonts w:hint="eastAsia" w:ascii="宋体" w:hAnsi="宋体" w:eastAsia="宋体" w:cs="宋体"/>
          <w:color w:val="auto"/>
          <w:highlight w:val="none"/>
          <w:lang w:val="en-US" w:eastAsia="zh-Hans"/>
        </w:rPr>
      </w:pPr>
    </w:p>
    <w:p>
      <w:pPr>
        <w:rPr>
          <w:color w:val="auto"/>
        </w:rPr>
      </w:pPr>
    </w:p>
    <w:bookmarkEnd w:id="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宋体"/>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276bd408-66cc-4d59-ad76-78383ac4df48"/>
  </w:docVars>
  <w:rsids>
    <w:rsidRoot w:val="00000000"/>
    <w:rsid w:val="06982E31"/>
    <w:rsid w:val="1890064F"/>
    <w:rsid w:val="2AF66B90"/>
    <w:rsid w:val="79B07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4">
    <w:name w:val="heading 1"/>
    <w:basedOn w:val="1"/>
    <w:next w:val="1"/>
    <w:qFormat/>
    <w:uiPriority w:val="1"/>
    <w:pPr>
      <w:ind w:left="3696"/>
      <w:outlineLvl w:val="1"/>
    </w:pPr>
    <w:rPr>
      <w:rFonts w:ascii="宋体" w:hAnsi="宋体" w:eastAsia="宋体"/>
      <w:sz w:val="31"/>
      <w:szCs w:val="3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1"/>
    <w:pPr>
      <w:ind w:left="490"/>
    </w:pPr>
    <w:rPr>
      <w:rFonts w:ascii="宋体" w:hAnsi="宋体" w:eastAsia="宋体"/>
      <w:sz w:val="19"/>
      <w:szCs w:val="19"/>
    </w:rPr>
  </w:style>
  <w:style w:type="paragraph" w:customStyle="1" w:styleId="7">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1758</Words>
  <Characters>1793</Characters>
  <Lines>0</Lines>
  <Paragraphs>0</Paragraphs>
  <TotalTime>0</TotalTime>
  <ScaleCrop>false</ScaleCrop>
  <LinksUpToDate>false</LinksUpToDate>
  <CharactersWithSpaces>1963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2024-03-15T08:37:00Z</dcterms:created>
  <dc:creator>Administrator</dc:creator>
  <cp:lastModifiedBy>Cinderella</cp:lastModifiedBy>
  <dcterms:modified xsi:type="dcterms:W3CDTF">2025-03-27T03:11:05Z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821979B67F23417B8E026D45EEEC5D80_12</vt:lpwstr>
  </property>
</Properties>
</file>