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版本号：SXHC2025-01720250219001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北田街道办事处330KV变电站项目清运建筑垃圾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SXHC2025-017</w:t>
      </w:r>
      <w:r>
        <w:br/>
      </w:r>
      <w:r>
        <w:br/>
      </w:r>
      <w:r>
        <w:br/>
      </w:r>
    </w:p>
    <w:p>
      <w:pPr>
        <w:pStyle w:val="null3"/>
        <w:jc w:val="center"/>
        <w:outlineLvl w:val="2"/>
      </w:pPr>
      <w:r>
        <w:rPr>
          <w:rFonts w:ascii="仿宋_GB2312" w:hAnsi="仿宋_GB2312" w:cs="仿宋_GB2312" w:eastAsia="仿宋_GB2312"/>
          <w:sz w:val="28"/>
          <w:b/>
        </w:rPr>
        <w:t>西安市临潼区北田街道办事处</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西安市临潼区北田街道办事处</w:t>
      </w:r>
      <w:r>
        <w:rPr>
          <w:rFonts w:ascii="仿宋_GB2312" w:hAnsi="仿宋_GB2312" w:cs="仿宋_GB2312" w:eastAsia="仿宋_GB2312"/>
        </w:rPr>
        <w:t>委托，拟对</w:t>
      </w:r>
      <w:r>
        <w:rPr>
          <w:rFonts w:ascii="仿宋_GB2312" w:hAnsi="仿宋_GB2312" w:cs="仿宋_GB2312" w:eastAsia="仿宋_GB2312"/>
        </w:rPr>
        <w:t>北田街道办事处330KV变电站项目清运建筑垃圾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北田街道办事处330KV变电站项目清运建筑垃圾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为全面提升辖区生态环境治理水平，对330KV变电站征地范围内的建筑垃圾进行清运。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采购包1（北田街道办事处330KV 变电站项目清运建筑垃圾）：属于专门面向中小企业采购。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6、项目经理资质：拟派项目经理具备建筑工程专业二级或以上注册建造师证书和安全生产考核合格证（B证），在本单位注册且无在建项目（提供承诺书）；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7、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动期间。（以采购人或采购代理机构开标当天查询结果为准）。供应商基本信息及项目负责人的基本信息在“全国建筑市场监管公共服务平台”可查询且无不良记录。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西安市临潼区北田街道办事处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临潼区北田街道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029-83989005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采购包1：575,200.00元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西安市临潼区北田街道办事处</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西安市临潼区北田街道办事处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西安市临潼区北田街道办事处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联系人：李妍</w:t>
      </w:r>
    </w:p>
    <w:p>
      <w:pPr>
        <w:pStyle w:val="null3"/>
      </w:pPr>
      <w:r>
        <w:rPr>
          <w:rFonts w:ascii="仿宋_GB2312" w:hAnsi="仿宋_GB2312" w:cs="仿宋_GB2312" w:eastAsia="仿宋_GB2312"/>
        </w:rPr>
        <w:t>联系电话：029-68255920转808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为全面提升辖区生态环境治理水平，对330KV变电站征地范围内的建筑垃圾进行清运。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575,200.00</w:t>
      </w:r>
    </w:p>
    <w:p>
      <w:pPr>
        <w:pStyle w:val="null3"/>
      </w:pPr>
      <w:r>
        <w:rPr>
          <w:rFonts w:ascii="仿宋_GB2312" w:hAnsi="仿宋_GB2312" w:cs="仿宋_GB2312" w:eastAsia="仿宋_GB2312"/>
        </w:rPr>
        <w:t>采购包最高限价（元）: 575,200.00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北田街道办事处330KV 变电站项目清运建筑垃圾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575,200.00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标的名称：北田街道办事处330KV 变电站项目清运建筑垃圾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0"/>
            </w:pPr>
            <w:r>
              <w:rPr>
                <w:rFonts w:ascii="仿宋_GB2312" w:hAnsi="仿宋_GB2312" w:cs="仿宋_GB2312" w:eastAsia="仿宋_GB2312"/>
                <w:sz w:val="18"/>
                <w:shd w:fill="FFFFFF" w:val="clear"/>
              </w:rPr>
              <w:t>一、项目背景</w:t>
            </w:r>
          </w:p>
          <w:p>
            <w:pPr>
              <w:pStyle w:val="null3"/>
              <w:ind w:firstLine="560"/>
            </w:pPr>
            <w:r>
              <w:rPr>
                <w:rFonts w:ascii="仿宋_GB2312" w:hAnsi="仿宋_GB2312" w:cs="仿宋_GB2312" w:eastAsia="仿宋_GB2312"/>
                <w:sz w:val="18"/>
                <w:shd w:fill="FFFFFF" w:val="clear"/>
              </w:rPr>
              <w:t>由于历史原因，渭北新城辖区存在大量建筑垃圾，多次被相关部门下放图斑要求整改。按照要求，全面提升辖区生态环境治理水平，需对辖区垃圾专项清理治理工作。</w:t>
            </w:r>
          </w:p>
          <w:p>
            <w:pPr>
              <w:pStyle w:val="null3"/>
              <w:ind w:firstLine="560"/>
              <w:jc w:val="left"/>
            </w:pPr>
            <w:r>
              <w:rPr>
                <w:rFonts w:ascii="仿宋_GB2312" w:hAnsi="仿宋_GB2312" w:cs="仿宋_GB2312" w:eastAsia="仿宋_GB2312"/>
                <w:sz w:val="18"/>
                <w:shd w:fill="FFFFFF" w:val="clear"/>
              </w:rPr>
              <w:t>二、垃圾清理量：清运建筑垃圾6766.5m³，单价最高限价：85元/立方米。</w:t>
            </w:r>
          </w:p>
          <w:p>
            <w:pPr>
              <w:pStyle w:val="null3"/>
              <w:spacing w:before="150"/>
              <w:ind w:firstLine="482"/>
              <w:jc w:val="left"/>
            </w:pPr>
            <w:r>
              <w:rPr>
                <w:rFonts w:ascii="仿宋_GB2312" w:hAnsi="仿宋_GB2312" w:cs="仿宋_GB2312" w:eastAsia="仿宋_GB2312"/>
                <w:sz w:val="18"/>
                <w:b/>
              </w:rPr>
              <w:t>本项目报价方式为全费用综合单价，最终按实际工程量结算。</w:t>
            </w:r>
          </w:p>
          <w:p>
            <w:pPr>
              <w:pStyle w:val="null3"/>
              <w:ind w:firstLine="480"/>
              <w:jc w:val="left"/>
            </w:pPr>
            <w:r>
              <w:rPr>
                <w:rFonts w:ascii="仿宋_GB2312" w:hAnsi="仿宋_GB2312" w:cs="仿宋_GB2312" w:eastAsia="仿宋_GB2312"/>
                <w:sz w:val="18"/>
                <w:color w:val="000000"/>
              </w:rPr>
              <w:t>三、</w:t>
            </w:r>
            <w:r>
              <w:rPr>
                <w:rFonts w:ascii="仿宋_GB2312" w:hAnsi="仿宋_GB2312" w:cs="仿宋_GB2312" w:eastAsia="仿宋_GB2312"/>
                <w:sz w:val="18"/>
                <w:color w:val="000000"/>
              </w:rPr>
              <w:t>服务期限</w:t>
            </w:r>
            <w:r>
              <w:rPr>
                <w:rFonts w:ascii="仿宋_GB2312" w:hAnsi="仿宋_GB2312" w:cs="仿宋_GB2312" w:eastAsia="仿宋_GB2312"/>
                <w:sz w:val="18"/>
                <w:color w:val="000000"/>
              </w:rPr>
              <w:t>：</w:t>
            </w:r>
            <w:r>
              <w:rPr>
                <w:rFonts w:ascii="仿宋_GB2312" w:hAnsi="仿宋_GB2312" w:cs="仿宋_GB2312" w:eastAsia="仿宋_GB2312"/>
                <w:sz w:val="18"/>
                <w:shd w:fill="FFFFFF" w:val="clear"/>
              </w:rPr>
              <w:t>自合同签订之日起15日内完成工程范围内全部清运工程。</w:t>
            </w:r>
          </w:p>
          <w:p>
            <w:pPr>
              <w:pStyle w:val="null3"/>
              <w:ind w:firstLine="480"/>
              <w:jc w:val="left"/>
            </w:pPr>
            <w:r>
              <w:rPr>
                <w:rFonts w:ascii="仿宋_GB2312" w:hAnsi="仿宋_GB2312" w:cs="仿宋_GB2312" w:eastAsia="仿宋_GB2312"/>
                <w:sz w:val="18"/>
                <w:color w:val="000000"/>
              </w:rPr>
              <w:t>四、质量标准：符合国家现行有关施工质量验收规范“合格”要求。</w:t>
            </w:r>
          </w:p>
          <w:p>
            <w:pPr>
              <w:pStyle w:val="null3"/>
              <w:ind w:firstLine="480"/>
              <w:jc w:val="left"/>
            </w:pPr>
            <w:r>
              <w:rPr>
                <w:rFonts w:ascii="仿宋_GB2312" w:hAnsi="仿宋_GB2312" w:cs="仿宋_GB2312" w:eastAsia="仿宋_GB2312"/>
                <w:sz w:val="18"/>
                <w:color w:val="000000"/>
              </w:rPr>
              <w:t>五、服务要求</w:t>
            </w:r>
          </w:p>
          <w:p>
            <w:pPr>
              <w:pStyle w:val="null3"/>
              <w:ind w:firstLine="480"/>
              <w:jc w:val="left"/>
            </w:pPr>
            <w:r>
              <w:rPr>
                <w:rFonts w:ascii="仿宋_GB2312" w:hAnsi="仿宋_GB2312" w:cs="仿宋_GB2312" w:eastAsia="仿宋_GB2312"/>
                <w:sz w:val="18"/>
                <w:color w:val="000000"/>
              </w:rPr>
              <w:t>1、供应商负责所有垃圾的运输，需做好现场其他设施维护工作；</w:t>
            </w:r>
          </w:p>
          <w:p>
            <w:pPr>
              <w:pStyle w:val="null3"/>
              <w:ind w:firstLine="480"/>
              <w:jc w:val="left"/>
            </w:pPr>
            <w:r>
              <w:rPr>
                <w:rFonts w:ascii="仿宋_GB2312" w:hAnsi="仿宋_GB2312" w:cs="仿宋_GB2312" w:eastAsia="仿宋_GB2312"/>
                <w:sz w:val="18"/>
                <w:color w:val="000000"/>
              </w:rPr>
              <w:t>2、安全责任：所有清扫运输工具均自备，维护费由成交供应商自行承担；清扫运输期间发生一切事故由成交供应商自负；</w:t>
            </w:r>
          </w:p>
          <w:p>
            <w:pPr>
              <w:pStyle w:val="null3"/>
              <w:ind w:firstLine="480"/>
              <w:jc w:val="left"/>
            </w:pPr>
            <w:r>
              <w:rPr>
                <w:rFonts w:ascii="仿宋_GB2312" w:hAnsi="仿宋_GB2312" w:cs="仿宋_GB2312" w:eastAsia="仿宋_GB2312"/>
                <w:sz w:val="18"/>
                <w:color w:val="000000"/>
              </w:rPr>
              <w:t>3、清运权限：成交供应商必须由其本人参加清理垃圾，不得转包或分包给他人清运，否则采购人有权终止清运期限；</w:t>
            </w:r>
          </w:p>
          <w:p>
            <w:pPr>
              <w:pStyle w:val="null3"/>
              <w:ind w:firstLine="480"/>
              <w:jc w:val="left"/>
            </w:pPr>
            <w:r>
              <w:rPr>
                <w:rFonts w:ascii="仿宋_GB2312" w:hAnsi="仿宋_GB2312" w:cs="仿宋_GB2312" w:eastAsia="仿宋_GB2312"/>
                <w:sz w:val="18"/>
                <w:color w:val="000000"/>
              </w:rPr>
              <w:t>4、成交供应商须服从管理，依规合理利用场地及设施，不能从事有损于采购人利益和违反安全生产管理活动的行为。</w:t>
            </w:r>
          </w:p>
          <w:p>
            <w:pPr>
              <w:pStyle w:val="null3"/>
              <w:ind w:firstLine="562"/>
              <w:jc w:val="left"/>
            </w:pPr>
            <w:r>
              <w:rPr>
                <w:rFonts w:ascii="仿宋_GB2312" w:hAnsi="仿宋_GB2312" w:cs="仿宋_GB2312" w:eastAsia="仿宋_GB2312"/>
                <w:sz w:val="18"/>
                <w:color w:val="000000"/>
              </w:rPr>
              <w:t>六、其他</w:t>
            </w:r>
          </w:p>
          <w:p>
            <w:pPr>
              <w:pStyle w:val="null3"/>
              <w:ind w:firstLine="480"/>
              <w:jc w:val="left"/>
            </w:pPr>
            <w:r>
              <w:rPr>
                <w:rFonts w:ascii="仿宋_GB2312" w:hAnsi="仿宋_GB2312" w:cs="仿宋_GB2312" w:eastAsia="仿宋_GB2312"/>
                <w:sz w:val="18"/>
                <w:color w:val="000000"/>
              </w:rPr>
              <w:t>1、垃圾清运倾倒点按国家相关规定执行，不得随意乱倒，倾运过程中垃圾不得外遗、抛洒，必须倾倒至指定垃圾分检中心。</w:t>
            </w:r>
          </w:p>
          <w:p>
            <w:pPr>
              <w:pStyle w:val="null3"/>
              <w:jc w:val="both"/>
            </w:pPr>
            <w:r>
              <w:rPr>
                <w:rFonts w:ascii="仿宋_GB2312" w:hAnsi="仿宋_GB2312" w:cs="仿宋_GB2312" w:eastAsia="仿宋_GB2312"/>
                <w:sz w:val="18"/>
                <w:color w:val="000000"/>
              </w:rPr>
              <w:t xml:space="preserve">   2、与街办、村组沟通协调能力强、环境保障能力强的单位。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自合同签订之日起15日内完成工程范围内全部清运工程。</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西安市临潼区北田街道办事处范围内，具体以甲方指定地点为准。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项目结束并经采购人验收合格后，成交供应商提交结算申请，采购人审核后按照实际发生工程量据实结算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建筑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2023年度或2024年度经审计的财务报告，成立时间至提交响应文件截止时间不足一年的可提供成立后任意时段的资产负债表），或其开标前三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具有履行本合同所必需的设备和专业技术能力</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企业资质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项目经理资质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信誉要求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 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施工总体方案内容至少包括①施工准备;②施工方法;③重点难点工程分析及解决措施;④影响正常施工外在因素分析及对应预案；⑤车辆、设备、工具配置明细等。 以上内容专门针对本项目且阐述明晰、全面、合理得25分，每缺一项内容扣5分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施工组织和项目管理机构内容至少包括①项目管理机构图;②岗位安排及职责（配备施工员、安全员、资料员、材料员、质检员）;③管理制度及相应的协调措施等。 以上内容专门针对本项目且符合本项目实际需求的得15分，每缺一项内容扣5分，若上述内容存在瑕疵，每存在1处瑕疵扣1分，扣完为止。 注：以上提供的人员必须为本公司在职人员。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内容至少包括①恶劣天气影响应急预案；②设施设备应急预案；③重大检查、临检应急预案等。 以上内容专门针对本项目且阐述明晰、全面、合理得15分，每缺一项内容扣5分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内容至少包括①人员安全保障措施；②设备、车辆安全保障措施；③安全责任划分标准；④安全事故的应对措施等。 以上内容专门针对本项目且阐述明晰、全面、合理得20分，每缺一项内容扣5分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供应商具有2020年1月1日至今同类项目业绩（以合同签订时间为准），响应文件中提供合同复印件加盖供应商公章,每提供一份得2分，满分10分，未提供不计分。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详见附件：具有独立承担民事责任能力</w:t>
      </w:r>
    </w:p>
    <w:p>
      <w:pPr>
        <w:pStyle w:val="null3"/>
        <w:ind w:firstLine="960"/>
      </w:pPr>
      <w:r>
        <w:rPr>
          <w:rFonts w:ascii="仿宋_GB2312" w:hAnsi="仿宋_GB2312" w:cs="仿宋_GB2312" w:eastAsia="仿宋_GB2312"/>
        </w:rPr>
        <w:t>详见附件：健全的财务会计制度</w:t>
      </w:r>
    </w:p>
    <w:p>
      <w:pPr>
        <w:pStyle w:val="null3"/>
        <w:ind w:firstLine="960"/>
      </w:pPr>
      <w:r>
        <w:rPr>
          <w:rFonts w:ascii="仿宋_GB2312" w:hAnsi="仿宋_GB2312" w:cs="仿宋_GB2312" w:eastAsia="仿宋_GB2312"/>
        </w:rPr>
        <w:t>详见附件：依法缴纳税收和社会保障资金</w:t>
      </w:r>
    </w:p>
    <w:p>
      <w:pPr>
        <w:pStyle w:val="null3"/>
        <w:ind w:firstLine="960"/>
      </w:pPr>
      <w:r>
        <w:rPr>
          <w:rFonts w:ascii="仿宋_GB2312" w:hAnsi="仿宋_GB2312" w:cs="仿宋_GB2312" w:eastAsia="仿宋_GB2312"/>
        </w:rPr>
        <w:t>详见附件：具有履行本合同所必需的设备和专业技术能力</w:t>
      </w:r>
    </w:p>
    <w:p>
      <w:pPr>
        <w:pStyle w:val="null3"/>
        <w:ind w:firstLine="960"/>
      </w:pPr>
      <w:r>
        <w:rPr>
          <w:rFonts w:ascii="仿宋_GB2312" w:hAnsi="仿宋_GB2312" w:cs="仿宋_GB2312" w:eastAsia="仿宋_GB2312"/>
        </w:rPr>
        <w:t>详见附件：无重大违法记录书面声明</w:t>
      </w:r>
    </w:p>
    <w:p>
      <w:pPr>
        <w:pStyle w:val="null3"/>
        <w:ind w:firstLine="960"/>
      </w:pPr>
      <w:r>
        <w:rPr>
          <w:rFonts w:ascii="仿宋_GB2312" w:hAnsi="仿宋_GB2312" w:cs="仿宋_GB2312" w:eastAsia="仿宋_GB2312"/>
        </w:rPr>
        <w:t>详见附件：企业资质</w:t>
      </w:r>
    </w:p>
    <w:p>
      <w:pPr>
        <w:pStyle w:val="null3"/>
        <w:ind w:firstLine="960"/>
      </w:pPr>
      <w:r>
        <w:rPr>
          <w:rFonts w:ascii="仿宋_GB2312" w:hAnsi="仿宋_GB2312" w:cs="仿宋_GB2312" w:eastAsia="仿宋_GB2312"/>
        </w:rPr>
        <w:t>详见附件：项目经理资质</w:t>
      </w:r>
    </w:p>
    <w:p>
      <w:pPr>
        <w:pStyle w:val="null3"/>
        <w:ind w:firstLine="960"/>
      </w:pPr>
      <w:r>
        <w:rPr>
          <w:rFonts w:ascii="仿宋_GB2312" w:hAnsi="仿宋_GB2312" w:cs="仿宋_GB2312" w:eastAsia="仿宋_GB2312"/>
        </w:rPr>
        <w:t>详见附件：信誉要求</w:t>
      </w:r>
    </w:p>
    <w:p>
      <w:pPr>
        <w:pStyle w:val="null3"/>
        <w:ind w:firstLine="960"/>
      </w:pPr>
      <w:r>
        <w:rPr>
          <w:rFonts w:ascii="仿宋_GB2312" w:hAnsi="仿宋_GB2312" w:cs="仿宋_GB2312" w:eastAsia="仿宋_GB2312"/>
        </w:rPr>
        <w:t>详见附件：法定代表人身份证明或法定代表人授权委托书</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详见附件：服务方案响应说明</w:t>
      </w:r>
    </w:p>
    <w:p>
      <w:pPr>
        <w:pStyle w:val="null3"/>
        <w:ind w:firstLine="960"/>
      </w:pPr>
      <w:r>
        <w:rPr>
          <w:rFonts w:ascii="仿宋_GB2312" w:hAnsi="仿宋_GB2312" w:cs="仿宋_GB2312" w:eastAsia="仿宋_GB2312"/>
        </w:rPr>
        <w:t>详见附件：业绩有关证明材料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