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经开区第十五小学临时道路维修工程</w:t>
      </w:r>
    </w:p>
    <w:p>
      <w:pPr>
        <w:pStyle w:val="null3"/>
        <w:jc w:val="center"/>
        <w:outlineLvl w:val="2"/>
      </w:pPr>
      <w:r>
        <w:rPr>
          <w:sz w:val="28"/>
          <w:b/>
        </w:rPr>
        <w:t>采购项目编号：</w:t>
      </w:r>
      <w:r>
        <w:rPr>
          <w:sz w:val="28"/>
          <w:b/>
        </w:rPr>
        <w:t>YS20250101</w:t>
      </w:r>
      <w:r>
        <w:br/>
      </w:r>
      <w:r>
        <w:br/>
      </w:r>
      <w:r>
        <w:br/>
      </w:r>
    </w:p>
    <w:p>
      <w:pPr>
        <w:pStyle w:val="null3"/>
        <w:jc w:val="center"/>
        <w:outlineLvl w:val="2"/>
      </w:pPr>
      <w:r>
        <w:rPr>
          <w:sz w:val="28"/>
          <w:b/>
        </w:rPr>
        <w:t>西安经济技术开发区住房和城乡建设局</w:t>
      </w:r>
    </w:p>
    <w:p>
      <w:pPr>
        <w:pStyle w:val="null3"/>
        <w:jc w:val="center"/>
        <w:outlineLvl w:val="2"/>
      </w:pPr>
      <w:r>
        <w:rPr>
          <w:sz w:val="28"/>
          <w:b/>
        </w:rPr>
        <w:t>亚圣（陕西）项目管理有限公司</w:t>
      </w:r>
      <w:r>
        <w:rPr>
          <w:sz w:val="28"/>
          <w:b/>
        </w:rPr>
        <w:t>共同编制</w:t>
      </w:r>
    </w:p>
    <w:p>
      <w:pPr>
        <w:pStyle w:val="null3"/>
        <w:jc w:val="center"/>
        <w:outlineLvl w:val="2"/>
      </w:pPr>
      <w:r>
        <w:rPr>
          <w:sz w:val="28"/>
          <w:b/>
        </w:rPr>
        <w:t>2025年01月08日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亚圣（陕西）项目管理有限公司</w:t>
      </w:r>
      <w:r>
        <w:rPr/>
        <w:t>（以下简称“代理机构”）受</w:t>
      </w:r>
      <w:r>
        <w:rPr/>
        <w:t>西安经济技术开发区住房和城乡建设局</w:t>
      </w:r>
      <w:r>
        <w:rPr/>
        <w:t>委托，拟对</w:t>
      </w:r>
      <w:r>
        <w:rPr/>
        <w:t>经开区第十五小学临时道路维修工程</w:t>
      </w:r>
      <w:r>
        <w:rPr/>
        <w:t>采用竞争性磋商采购方式进行采购，兹邀请供应商参加本项目的竞争性磋商。</w:t>
      </w:r>
    </w:p>
    <w:p>
      <w:pPr>
        <w:pStyle w:val="null3"/>
        <w:outlineLvl w:val="2"/>
      </w:pPr>
      <w:r>
        <w:rPr>
          <w:sz w:val="28"/>
          <w:b/>
        </w:rPr>
        <w:t>一、采购项目编号：</w:t>
      </w:r>
      <w:r>
        <w:rPr>
          <w:sz w:val="28"/>
          <w:b/>
        </w:rPr>
        <w:t>YS20250101</w:t>
      </w:r>
    </w:p>
    <w:p>
      <w:pPr>
        <w:pStyle w:val="null3"/>
        <w:outlineLvl w:val="2"/>
      </w:pPr>
      <w:r>
        <w:rPr>
          <w:sz w:val="28"/>
          <w:b/>
        </w:rPr>
        <w:t>二、采购项目名称：</w:t>
      </w:r>
      <w:r>
        <w:rPr>
          <w:sz w:val="28"/>
          <w:b/>
        </w:rPr>
        <w:t>经开区第十五小学临时道路维修工程</w:t>
      </w:r>
    </w:p>
    <w:p>
      <w:pPr>
        <w:pStyle w:val="null3"/>
        <w:outlineLvl w:val="2"/>
      </w:pPr>
      <w:r>
        <w:rPr>
          <w:sz w:val="28"/>
          <w:b/>
        </w:rPr>
        <w:t>三、磋商项目简介</w:t>
      </w:r>
    </w:p>
    <w:p>
      <w:pPr>
        <w:pStyle w:val="null3"/>
        <w:ind w:firstLine="480"/>
      </w:pPr>
      <w:r>
        <w:rPr/>
        <w:t>经开区第十五小学周边两条临时路东西向临时路，西起兴华路，东至幸福河西侧路，全长640.615米，道路宽度7.5米；南北向临时路，南街现状三园小区东侧水泥路，北至东西向临时路，全长75.369米，道路宽度7.5米，具体包括：原临时道路面层加铺混凝土路面、铺筑土工格栅，新建土路肩等。（详见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采购包1（经开区第十五小学临时道路维修工程）：属于专门面向中小企业采购。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1、法定代表人授权委托书：法定代表人授权书及授权代表身份证（法定代表人直接参加投标的须提供法定代表人证明及其身份证），非法人单位参照执行。</w:t>
      </w:r>
    </w:p>
    <w:p>
      <w:pPr>
        <w:pStyle w:val="null3"/>
      </w:pPr>
      <w:r>
        <w:rPr/>
        <w:t>2、信用记录：未被列入“信用中国”及“中国政府采购网”失信行为记录。</w:t>
      </w:r>
    </w:p>
    <w:p>
      <w:pPr>
        <w:pStyle w:val="null3"/>
      </w:pPr>
      <w:r>
        <w:rPr/>
        <w:t>3、企业资质：供应商须具备建设行政主管部门颁发的市政公用工程施工总承包三级及以上资质，且具有有效的安全生产许可证。</w:t>
      </w:r>
    </w:p>
    <w:p>
      <w:pPr>
        <w:pStyle w:val="null3"/>
      </w:pPr>
      <w:r>
        <w:rPr/>
        <w:t>4、项目负责人：拟派项目负责人具有市政公用工程专业二级以上（含二级）注册建造师资格及有效的安全生产考核合格证书，且无其他在建项目（提供无在建工程的承诺函）。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西安经济技术开发区住房和城乡建设局</w:t>
      </w:r>
    </w:p>
    <w:p>
      <w:pPr>
        <w:pStyle w:val="null3"/>
      </w:pPr>
      <w:r>
        <w:rPr/>
        <w:t xml:space="preserve"> 地址： </w:t>
      </w:r>
      <w:r>
        <w:rPr/>
        <w:t>西安经济技术开发区凯瑞F座601室</w:t>
      </w:r>
    </w:p>
    <w:p>
      <w:pPr>
        <w:pStyle w:val="null3"/>
      </w:pPr>
      <w:r>
        <w:rPr/>
        <w:t xml:space="preserve"> 邮编： </w:t>
      </w:r>
      <w:r>
        <w:rPr/>
        <w:t>721000</w:t>
      </w:r>
    </w:p>
    <w:p>
      <w:pPr>
        <w:pStyle w:val="null3"/>
      </w:pPr>
      <w:r>
        <w:rPr/>
        <w:t xml:space="preserve"> 联系人： </w:t>
      </w:r>
      <w:r>
        <w:rPr/>
        <w:t>西安经济技术开发区住房和城乡建设局经办</w:t>
      </w:r>
    </w:p>
    <w:p>
      <w:pPr>
        <w:pStyle w:val="null3"/>
      </w:pPr>
      <w:r>
        <w:rPr/>
        <w:t xml:space="preserve"> 联系电话： </w:t>
      </w:r>
      <w:r>
        <w:rPr/>
        <w:t>029-86186211</w:t>
      </w:r>
    </w:p>
    <w:p>
      <w:pPr>
        <w:pStyle w:val="null3"/>
        <w:outlineLvl w:val="3"/>
      </w:pPr>
      <w:r>
        <w:rPr>
          <w:sz w:val="24"/>
          <w:b/>
        </w:rPr>
        <w:t>代理机构：</w:t>
      </w:r>
      <w:r>
        <w:rPr>
          <w:sz w:val="24"/>
          <w:b/>
        </w:rPr>
        <w:t>亚圣（陕西）项目管理有限公司</w:t>
      </w:r>
    </w:p>
    <w:p>
      <w:pPr>
        <w:pStyle w:val="null3"/>
      </w:pPr>
      <w:r>
        <w:rPr/>
        <w:t xml:space="preserve"> 地址： </w:t>
      </w:r>
      <w:r>
        <w:rPr/>
        <w:t>陕西省西安市未央区福清商会大厦1004室</w:t>
      </w:r>
    </w:p>
    <w:p>
      <w:pPr>
        <w:pStyle w:val="null3"/>
      </w:pPr>
      <w:r>
        <w:rPr/>
        <w:t xml:space="preserve"> 邮编： </w:t>
      </w:r>
      <w:r>
        <w:rPr/>
        <w:t>710000</w:t>
      </w:r>
    </w:p>
    <w:p>
      <w:pPr>
        <w:pStyle w:val="null3"/>
      </w:pPr>
      <w:r>
        <w:rPr/>
        <w:t xml:space="preserve"> 联系人： </w:t>
      </w:r>
      <w:r>
        <w:rPr/>
        <w:t>朱鑫</w:t>
      </w:r>
    </w:p>
    <w:p>
      <w:pPr>
        <w:pStyle w:val="null3"/>
      </w:pPr>
      <w:r>
        <w:rPr/>
        <w:t xml:space="preserve"> 联系电话： </w:t>
      </w:r>
      <w:r>
        <w:rPr/>
        <w:t>18991873656</w:t>
      </w:r>
    </w:p>
    <w:p>
      <w:pPr>
        <w:pStyle w:val="null3"/>
        <w:outlineLvl w:val="3"/>
      </w:pPr>
      <w:r>
        <w:rPr>
          <w:sz w:val="24"/>
          <w:b/>
        </w:rPr>
        <w:t>采购监督机构：</w:t>
      </w:r>
      <w:r>
        <w:rPr>
          <w:sz w:val="24"/>
          <w:b/>
        </w:rPr>
        <w:t>西安经济技术开发区政府采购管理股</w:t>
      </w:r>
    </w:p>
    <w:p>
      <w:pPr>
        <w:pStyle w:val="null3"/>
        <w:ind w:firstLine="480"/>
      </w:pPr>
      <w:r>
        <w:rPr/>
        <w:t>联系人：</w:t>
      </w:r>
      <w:r>
        <w:rPr/>
        <w:t>邓老师</w:t>
      </w:r>
    </w:p>
    <w:p>
      <w:pPr>
        <w:pStyle w:val="null3"/>
        <w:ind w:firstLine="480"/>
      </w:pPr>
      <w:r>
        <w:rPr/>
        <w:t>联系电话：</w:t>
      </w:r>
      <w:r>
        <w:rPr/>
        <w:t>029-86538460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采购包1：789,218.13元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印发的《招标代理服务收费管理暂行办法》（计价格[2002]1980号）和国家发展和改革委员会办公厅印发的《关于招标代理服务收费有关问题的通知》（发改办价格[2003]857号）的有关规定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西安经济技术开发区住房和城乡建设局</w:t>
      </w:r>
      <w:r>
        <w:rPr/>
        <w:t>和</w:t>
      </w:r>
      <w:r>
        <w:rPr/>
        <w:t>亚圣（陕西）项目管理有限公司</w:t>
      </w:r>
      <w:r>
        <w:rPr/>
        <w:t>享有。对磋商文件中供应商参加本次政府采购活动应当具备的条件，磋商项目技术、服务、商务及其他要求，评审细则及标准由</w:t>
      </w:r>
      <w:r>
        <w:rPr/>
        <w:t>西安经济技术开发区住房和城乡建设局</w:t>
      </w:r>
      <w:r>
        <w:rPr/>
        <w:t>负责解释。除上述磋商文件内容，其他内容由</w:t>
      </w:r>
      <w:r>
        <w:rPr/>
        <w:t>亚圣（陕西）项目管理有限公司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西安经济技术开发区住房和城乡建设局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亚圣（陕西）项目管理有限公司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满足本项目采购需求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亚圣（陕西）项目管理有限公司</w:t>
      </w:r>
      <w:r>
        <w:rPr/>
        <w:t xml:space="preserve"> 负责答复；供应商对采购过程的询问、质疑由</w:t>
      </w:r>
      <w:r>
        <w:rPr/>
        <w:t>亚圣（陕西）项目管理有限公司</w:t>
      </w:r>
      <w:r>
        <w:rPr/>
        <w:t xml:space="preserve"> 负责答复；供应商对采购结果的询问、质疑由 </w:t>
      </w:r>
      <w:r>
        <w:rPr/>
        <w:t>亚圣（陕西）项目管理有限公司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联系人：朱鑫</w:t>
      </w:r>
    </w:p>
    <w:p>
      <w:pPr>
        <w:pStyle w:val="null3"/>
      </w:pPr>
      <w:r>
        <w:rPr/>
        <w:t>联系电话：18991873656</w:t>
      </w:r>
    </w:p>
    <w:p>
      <w:pPr>
        <w:pStyle w:val="null3"/>
      </w:pPr>
      <w:r>
        <w:rPr/>
        <w:t>地址：陕西省西安市未央区福清商会大厦1004室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789,218.13</w:t>
      </w:r>
    </w:p>
    <w:p>
      <w:pPr>
        <w:pStyle w:val="null3"/>
      </w:pPr>
      <w:r>
        <w:rPr/>
        <w:t>采购包最高限价（元）: 789,218.13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经开区第十五小学临时道路维修工程</w:t>
            </w:r>
          </w:p>
        </w:tc>
        <w:tc>
          <w:tcPr>
            <w:tcW w:type="dxa" w:w="1384"/>
          </w:tcPr>
          <w:p>
            <w:pPr>
              <w:pStyle w:val="null3"/>
              <w:jc w:val="right"/>
            </w:pPr>
            <w:r>
              <w:rPr/>
              <w:t>1.00</w:t>
            </w:r>
          </w:p>
        </w:tc>
        <w:tc>
          <w:tcPr>
            <w:tcW w:type="dxa" w:w="1384"/>
          </w:tcPr>
          <w:p>
            <w:pPr>
              <w:pStyle w:val="null3"/>
              <w:jc w:val="right"/>
            </w:pPr>
            <w:r>
              <w:rPr/>
              <w:t>789,218.13</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标的名称：经开区第十五小学临时道路维修工程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2"/>
                <w:color w:val="000000"/>
              </w:rPr>
              <w:t>（一）工程</w:t>
            </w:r>
            <w:r>
              <w:rPr>
                <w:rFonts w:ascii="宋体" w:hAnsi="宋体" w:cs="宋体" w:eastAsia="宋体"/>
                <w:sz w:val="22"/>
                <w:color w:val="000000"/>
              </w:rPr>
              <w:t>范围</w:t>
            </w:r>
            <w:r>
              <w:rPr>
                <w:rFonts w:ascii="宋体" w:hAnsi="宋体" w:cs="宋体" w:eastAsia="宋体"/>
                <w:sz w:val="22"/>
                <w:color w:val="000000"/>
              </w:rPr>
              <w:t>：</w:t>
            </w:r>
            <w:r>
              <w:rPr>
                <w:rFonts w:ascii="宋体" w:hAnsi="宋体" w:cs="宋体" w:eastAsia="宋体"/>
                <w:sz w:val="22"/>
                <w:color w:val="000000"/>
              </w:rPr>
              <w:t>经开十五小周边两条临时路，东西向临时路西起兴华路，东至幸福河西侧路，全长</w:t>
            </w:r>
            <w:r>
              <w:rPr>
                <w:rFonts w:ascii="宋体" w:hAnsi="宋体" w:cs="宋体" w:eastAsia="宋体"/>
                <w:sz w:val="22"/>
                <w:color w:val="000000"/>
              </w:rPr>
              <w:t>640.615m，道路宽度为7.5m;南北向临时路南接现状三园小区东侧水泥路，北至东西向临时路，全长75.369m，道路宽度为7.5m。具体包括:原临时道路面层加铺混凝土路面、铺筑土</w:t>
            </w:r>
            <w:r>
              <w:rPr>
                <w:rFonts w:ascii="宋体" w:hAnsi="宋体" w:cs="宋体" w:eastAsia="宋体"/>
                <w:sz w:val="22"/>
                <w:color w:val="000000"/>
              </w:rPr>
              <w:t>工格栅，新建土路肩等。</w:t>
            </w:r>
          </w:p>
          <w:p>
            <w:pPr>
              <w:pStyle w:val="null3"/>
              <w:ind w:firstLine="480"/>
              <w:jc w:val="both"/>
            </w:pPr>
            <w:r>
              <w:rPr>
                <w:rFonts w:ascii="宋体" w:hAnsi="宋体" w:cs="宋体" w:eastAsia="宋体"/>
                <w:sz w:val="22"/>
                <w:color w:val="000000"/>
              </w:rPr>
              <w:t>（</w:t>
            </w:r>
            <w:r>
              <w:rPr>
                <w:rFonts w:ascii="宋体" w:hAnsi="宋体" w:cs="宋体" w:eastAsia="宋体"/>
                <w:sz w:val="22"/>
                <w:color w:val="000000"/>
              </w:rPr>
              <w:t>二</w:t>
            </w:r>
            <w:r>
              <w:rPr>
                <w:rFonts w:ascii="宋体" w:hAnsi="宋体" w:cs="宋体" w:eastAsia="宋体"/>
                <w:sz w:val="22"/>
                <w:color w:val="000000"/>
              </w:rPr>
              <w:t>）计划工期：自进场之日起</w:t>
            </w:r>
            <w:r>
              <w:rPr>
                <w:rFonts w:ascii="宋体" w:hAnsi="宋体" w:cs="宋体" w:eastAsia="宋体"/>
                <w:sz w:val="22"/>
                <w:color w:val="000000"/>
              </w:rPr>
              <w:t>30</w:t>
            </w:r>
            <w:r>
              <w:rPr>
                <w:rFonts w:ascii="宋体" w:hAnsi="宋体" w:cs="宋体" w:eastAsia="宋体"/>
                <w:sz w:val="22"/>
                <w:color w:val="000000"/>
              </w:rPr>
              <w:t>个日历日内竣工。</w:t>
            </w:r>
          </w:p>
          <w:p>
            <w:pPr>
              <w:pStyle w:val="null3"/>
              <w:ind w:firstLine="480"/>
              <w:jc w:val="both"/>
            </w:pPr>
            <w:r>
              <w:rPr>
                <w:rFonts w:ascii="宋体" w:hAnsi="宋体" w:cs="宋体" w:eastAsia="宋体"/>
                <w:sz w:val="22"/>
                <w:color w:val="000000"/>
              </w:rPr>
              <w:t>（</w:t>
            </w:r>
            <w:r>
              <w:rPr>
                <w:rFonts w:ascii="宋体" w:hAnsi="宋体" w:cs="宋体" w:eastAsia="宋体"/>
                <w:sz w:val="22"/>
                <w:color w:val="000000"/>
              </w:rPr>
              <w:t>三</w:t>
            </w:r>
            <w:r>
              <w:rPr>
                <w:rFonts w:ascii="宋体" w:hAnsi="宋体" w:cs="宋体" w:eastAsia="宋体"/>
                <w:sz w:val="22"/>
                <w:color w:val="000000"/>
              </w:rPr>
              <w:t>）缺陷责任期：</w:t>
            </w:r>
            <w:r>
              <w:rPr>
                <w:rFonts w:ascii="宋体" w:hAnsi="宋体" w:cs="宋体" w:eastAsia="宋体"/>
                <w:sz w:val="22"/>
                <w:color w:val="000000"/>
              </w:rPr>
              <w:t>2年。</w:t>
            </w:r>
          </w:p>
          <w:p>
            <w:pPr>
              <w:pStyle w:val="null3"/>
              <w:ind w:firstLine="480"/>
              <w:jc w:val="both"/>
            </w:pPr>
            <w:r>
              <w:rPr>
                <w:rFonts w:ascii="宋体" w:hAnsi="宋体" w:cs="宋体" w:eastAsia="宋体"/>
                <w:sz w:val="22"/>
                <w:color w:val="000000"/>
              </w:rPr>
              <w:t>（</w:t>
            </w:r>
            <w:r>
              <w:rPr>
                <w:rFonts w:ascii="宋体" w:hAnsi="宋体" w:cs="宋体" w:eastAsia="宋体"/>
                <w:sz w:val="22"/>
                <w:color w:val="000000"/>
              </w:rPr>
              <w:t>四</w:t>
            </w:r>
            <w:r>
              <w:rPr>
                <w:rFonts w:ascii="宋体" w:hAnsi="宋体" w:cs="宋体" w:eastAsia="宋体"/>
                <w:sz w:val="22"/>
                <w:color w:val="000000"/>
              </w:rPr>
              <w:t>）质量</w:t>
            </w:r>
            <w:r>
              <w:rPr>
                <w:rFonts w:ascii="宋体" w:hAnsi="宋体" w:cs="宋体" w:eastAsia="宋体"/>
                <w:sz w:val="22"/>
                <w:color w:val="000000"/>
              </w:rPr>
              <w:t>标准</w:t>
            </w:r>
            <w:r>
              <w:rPr>
                <w:rFonts w:ascii="宋体" w:hAnsi="宋体" w:cs="宋体" w:eastAsia="宋体"/>
                <w:sz w:val="22"/>
                <w:color w:val="000000"/>
              </w:rPr>
              <w:t>：达到国家现行行业施工验收规范合格标准。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工程质量达到“合格”标准，供应商必须严格按照有关施工和验收规范进行施工，符合施工质量验收标准以及国家、省、市、行业及地方标准等相关规范要求。</w:t>
      </w:r>
    </w:p>
    <w:p>
      <w:pPr>
        <w:pStyle w:val="null3"/>
        <w:ind w:firstLine="480"/>
      </w:pPr>
      <w:r>
        <w:rPr/>
        <w:t>三、针对本项目的其他技术服务要求：</w:t>
      </w:r>
    </w:p>
    <w:p>
      <w:pPr>
        <w:pStyle w:val="null3"/>
      </w:pPr>
      <w:r>
        <w:rPr/>
        <w:t>符合施工质量验收标准以及国家、省、市、行业及地方标准等相关规范要求。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付款方式：竣工验收合格后，向乙方支付项目总金额的97%，缺陷责任期期满后，支付剩余项目总金额的3%</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 供应商需在项目电子化交易系统中按要求上传相应证明文件并进行电子签章。</w:t>
            </w:r>
          </w:p>
        </w:tc>
        <w:tc>
          <w:tcPr>
            <w:tcW w:type="dxa" w:w="1661"/>
          </w:tcPr>
          <w:p>
            <w:pPr>
              <w:pStyle w:val="null3"/>
            </w:pPr>
            <w:r>
              <w:rPr/>
              <w:t>供应商资格证明材料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具有良好的商业信誉和健全的财务会计制度：提供经会计师事务所审计的上一年度财务审计报告，或本年度基本开户银行出具的资信证明（附开户许可证或基本存款账户信息）。 供应商需在项目电子化交易系统中按要求上传相应证明文件并进行电子签章。</w:t>
            </w:r>
          </w:p>
        </w:tc>
        <w:tc>
          <w:tcPr>
            <w:tcW w:type="dxa" w:w="1661"/>
          </w:tcPr>
          <w:p>
            <w:pPr>
              <w:pStyle w:val="null3"/>
            </w:pPr>
            <w:r>
              <w:rPr/>
              <w:t>供应商资格证明材料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供应商资格证明材料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法定代表人授权书及授权代表身份证（法定代表人直接参加投标的须提供法定代表人证明及其身份证），非法人单位参照执行。</w:t>
            </w:r>
          </w:p>
        </w:tc>
        <w:tc>
          <w:tcPr>
            <w:tcW w:type="dxa" w:w="1661"/>
          </w:tcPr>
          <w:p>
            <w:pPr>
              <w:pStyle w:val="null3"/>
            </w:pPr>
            <w:r>
              <w:rPr/>
              <w:t>供应商资格证明材料</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未被列入“信用中国”及“中国政府采购网”失信行为记录。</w:t>
            </w:r>
          </w:p>
        </w:tc>
        <w:tc>
          <w:tcPr>
            <w:tcW w:type="dxa" w:w="1661"/>
          </w:tcPr>
          <w:p>
            <w:pPr>
              <w:pStyle w:val="null3"/>
            </w:pPr>
            <w:r>
              <w:rPr/>
              <w:t>供应商资格证明材料</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供应商须具备建设行政主管部门颁发的市政公用工程施工总承包三级及以上资质，且具有有效的安全生产许可证。</w:t>
            </w:r>
          </w:p>
        </w:tc>
        <w:tc>
          <w:tcPr>
            <w:tcW w:type="dxa" w:w="1661"/>
          </w:tcPr>
          <w:p>
            <w:pPr>
              <w:pStyle w:val="null3"/>
            </w:pPr>
            <w:r>
              <w:rPr/>
              <w:t>供应商资格证明材料</w:t>
            </w:r>
          </w:p>
        </w:tc>
      </w:tr>
      <w:tr>
        <w:tc>
          <w:tcPr>
            <w:tcW w:type="dxa" w:w="831"/>
          </w:tcPr>
          <w:p>
            <w:pPr>
              <w:pStyle w:val="null3"/>
            </w:pPr>
            <w:r>
              <w:rPr/>
              <w:t>4</w:t>
            </w:r>
          </w:p>
        </w:tc>
        <w:tc>
          <w:tcPr>
            <w:tcW w:type="dxa" w:w="2492"/>
          </w:tcPr>
          <w:p>
            <w:pPr>
              <w:pStyle w:val="null3"/>
            </w:pPr>
            <w:r>
              <w:rPr/>
              <w:t>项目负责人</w:t>
            </w:r>
          </w:p>
        </w:tc>
        <w:tc>
          <w:tcPr>
            <w:tcW w:type="dxa" w:w="3322"/>
          </w:tcPr>
          <w:p>
            <w:pPr>
              <w:pStyle w:val="null3"/>
            </w:pPr>
            <w:r>
              <w:rPr/>
              <w:t>拟派项目负责人具有市政公用工程专业二级以上（含二级）注册建造师资格及有效的安全生产考核合格证书，且无其他在建项目（提供无在建工程的承诺函）。</w:t>
            </w:r>
          </w:p>
        </w:tc>
        <w:tc>
          <w:tcPr>
            <w:tcW w:type="dxa" w:w="1661"/>
          </w:tcPr>
          <w:p>
            <w:pPr>
              <w:pStyle w:val="null3"/>
            </w:pPr>
            <w:r>
              <w:rPr/>
              <w:t>供应商资格证明材料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响应报价表 报价函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按照磋商文件规定要求签署、盖章的</w:t>
            </w:r>
          </w:p>
        </w:tc>
        <w:tc>
          <w:tcPr>
            <w:tcW w:type="dxa" w:w="1661"/>
          </w:tcPr>
          <w:p>
            <w:pPr>
              <w:pStyle w:val="null3"/>
            </w:pPr>
            <w:r>
              <w:rPr/>
              <w:t>已标价工程量清单 供应商资格证明材料 中小企业声明函 磋商响应方案 承诺书 项目团队 业绩一览表 响应文件封面 商务要求及合同条款响应偏离表 残疾人福利性单位声明函 响应报价表 报价函 标的清单 响应函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响应有效期满足要求的</w:t>
            </w:r>
          </w:p>
        </w:tc>
        <w:tc>
          <w:tcPr>
            <w:tcW w:type="dxa" w:w="1661"/>
          </w:tcPr>
          <w:p>
            <w:pPr>
              <w:pStyle w:val="null3"/>
            </w:pPr>
            <w:r>
              <w:rPr/>
              <w:t>供应商资格证明材料 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报价未超过磋商文件中规定的最高限价的。</w:t>
            </w:r>
          </w:p>
        </w:tc>
        <w:tc>
          <w:tcPr>
            <w:tcW w:type="dxa" w:w="1661"/>
          </w:tcPr>
          <w:p>
            <w:pPr>
              <w:pStyle w:val="null3"/>
            </w:pPr>
            <w:r>
              <w:rPr/>
              <w:t>已标价工程量清单 响应报价表 报价函 标的清单</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满足本磋商文件中标注的实质性条款（服务期限、服务地点、支付方式、支付约定等）要求的</w:t>
            </w:r>
          </w:p>
        </w:tc>
        <w:tc>
          <w:tcPr>
            <w:tcW w:type="dxa" w:w="1661"/>
          </w:tcPr>
          <w:p>
            <w:pPr>
              <w:pStyle w:val="null3"/>
            </w:pPr>
            <w:r>
              <w:rPr/>
              <w:t>已标价工程量清单 供应商资格证明材料 中小企业声明函 磋商响应方案 承诺书 项目团队 业绩一览表 响应文件封面 商务要求及合同条款响应偏离表 残疾人福利性单位声明函 响应报价表 报价函 标的清单 响应函 监狱企业的证明文件</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无法律、规章、规范性文件和磋商文件规定的其他无效情形</w:t>
            </w:r>
          </w:p>
        </w:tc>
        <w:tc>
          <w:tcPr>
            <w:tcW w:type="dxa" w:w="1661"/>
          </w:tcPr>
          <w:p>
            <w:pPr>
              <w:pStyle w:val="null3"/>
            </w:pPr>
            <w:r>
              <w:rPr/>
              <w:t>已标价工程量清单 供应商资格证明材料 中小企业声明函 磋商响应方案 承诺书 项目团队 业绩一览表 响应文件封面 商务要求及合同条款响应偏离表 残疾人福利性单位声明函 响应报价表 报价函 标的清单 响应函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施工方案、方法与技术措施</w:t>
            </w:r>
          </w:p>
        </w:tc>
        <w:tc>
          <w:tcPr>
            <w:tcW w:type="dxa" w:w="2492"/>
          </w:tcPr>
          <w:p>
            <w:pPr>
              <w:pStyle w:val="null3"/>
            </w:pPr>
            <w:r>
              <w:rPr/>
              <w:t>1.对本项目了解透彻，制定针对本项目的施工方案、方法与技术措施内容全面，施工工艺先进，对施工具有高度指导性，完全满足项目实施计8分； 2.对本项目了解，制定本项目的施工方案、方法与技术措施内容全面，施工工艺先进，对施工具有指导性，满足项目实施计6分；3.施工方案可行，方法、措施得当，内容基本满足但不完善计4分； 4.施工方案、方法与技术措施的可行性、指导性较低，内容不详尽或不适用于本项目计2分； 5.未提供不计分。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组织机构配置</w:t>
            </w:r>
          </w:p>
        </w:tc>
        <w:tc>
          <w:tcPr>
            <w:tcW w:type="dxa" w:w="2492"/>
          </w:tcPr>
          <w:p>
            <w:pPr>
              <w:pStyle w:val="null3"/>
            </w:pPr>
            <w:r>
              <w:rPr/>
              <w:t>1.组织机构健全，实行项目经理负责制，项目经理部的机构设置合理，配备完全合理计 9 分； 2.组织机构健全，项目经理部的机构设置基本合理计 6 分； 3.组织机构设置不合理计 3 分； 4.未提供不计分。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施工进度计划及保证措施</w:t>
            </w:r>
          </w:p>
        </w:tc>
        <w:tc>
          <w:tcPr>
            <w:tcW w:type="dxa" w:w="2492"/>
          </w:tcPr>
          <w:p>
            <w:pPr>
              <w:pStyle w:val="null3"/>
            </w:pPr>
            <w:r>
              <w:rPr/>
              <w:t>1.工期满足磋商文件要求，施工进度、节点安排合理，完全满足项目实施 计 8 分； 2.工期满足磋商文件要求，施工进度、节点合理，满足项目实施计 6 分； 3.工期满足磋商文件要求，施工进度、节点安排基本合理计 4 分； 4、工期满足磋商文件要求，施工进度、节点安排基不完善的计 2 分； 5.未提供进度计划不计分。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工程质量管理体系及保证措施</w:t>
            </w:r>
          </w:p>
        </w:tc>
        <w:tc>
          <w:tcPr>
            <w:tcW w:type="dxa" w:w="2492"/>
          </w:tcPr>
          <w:p>
            <w:pPr>
              <w:pStyle w:val="null3"/>
            </w:pPr>
            <w:r>
              <w:rPr/>
              <w:t>1.质量目标明确，管理体系健全，控制措施完整,完全满足项目实施计 7 分； 2.质量目标明确，管理体系健全，控制措施完整,满足项目实施计 4 分； 3.质量目标基本明确，管理体系基本健全，控制措施基本完善的计 2 分； 4.工程质量管理体系及保证措施不合理或未叙述者不计分。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安全生产、文明施工管理体系及保证措施</w:t>
            </w:r>
          </w:p>
        </w:tc>
        <w:tc>
          <w:tcPr>
            <w:tcW w:type="dxa" w:w="2492"/>
          </w:tcPr>
          <w:p>
            <w:pPr>
              <w:pStyle w:val="null3"/>
            </w:pPr>
            <w:r>
              <w:rPr/>
              <w:t>1.安全生产目标明确，预防和动态控制措施及制度完整、到位，管理体系 和组织措施功能完善，安全经费投入明确,完全满足项目实施计 7 分； 2.安全生产目标明确，预防和动态控制措施及制度完整、到位，管理体系和组织措施功能完善，安全经费投入明确,满足项目实施计 4 分； 3.安全生产目标基本明确，控制措施及制度基本完善的计 2 分； 4.安全生产、文明施工管理体系及保证措施不合理或未叙述不计分。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环境文明施工保证体系及保证措施</w:t>
            </w:r>
          </w:p>
        </w:tc>
        <w:tc>
          <w:tcPr>
            <w:tcW w:type="dxa" w:w="2492"/>
          </w:tcPr>
          <w:p>
            <w:pPr>
              <w:pStyle w:val="null3"/>
            </w:pPr>
            <w:r>
              <w:rPr/>
              <w:t>1.环境文明施工保证体系健全、完整，保证措施完善,完全满足项目实施计 7 分； 2.环境文明施工保证体系健全、完整，保证措施完善,满足项目实施计 4 分； 3.环境文明施工保证体系基本健全、完善计 2 分； 4.环境文明施工保证体系不合理或未叙述者不计分。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主要劳动力及机具配备</w:t>
            </w:r>
          </w:p>
        </w:tc>
        <w:tc>
          <w:tcPr>
            <w:tcW w:type="dxa" w:w="2492"/>
          </w:tcPr>
          <w:p>
            <w:pPr>
              <w:pStyle w:val="null3"/>
            </w:pPr>
            <w:r>
              <w:rPr/>
              <w:t>1.劳动力及机具投入计划根据施工进度需求、工作量进行合理分配安排， 并具有很强的实施性，完全满足施工要求计 7 分； 2.劳动力及机具投入计划根据施工进度需求、工作量进行合理分配安排， 并具有较强的实施性，满足施工要求计 5 分； 3.有基本的劳动力及机具投入计 4 分； 4.劳动力及机具投入不完善的计 2 分； 5.未提供不计分。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项目风险预测与防范、事故应急预案</w:t>
            </w:r>
          </w:p>
        </w:tc>
        <w:tc>
          <w:tcPr>
            <w:tcW w:type="dxa" w:w="2492"/>
          </w:tcPr>
          <w:p>
            <w:pPr>
              <w:pStyle w:val="null3"/>
            </w:pPr>
            <w:r>
              <w:rPr/>
              <w:t>1.项目风险预测与防范、事故应急预案考虑全面，切实可行操作性强，经济合理计 6 分； 2.项目风险预测与防范、事故应急预案考虑操作性不强计 4 分； 3.项目风险预测与防范、事故应急预案不完善的计 2 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合理化建议</w:t>
            </w:r>
          </w:p>
        </w:tc>
        <w:tc>
          <w:tcPr>
            <w:tcW w:type="dxa" w:w="2492"/>
          </w:tcPr>
          <w:p>
            <w:pPr>
              <w:pStyle w:val="null3"/>
            </w:pPr>
            <w:r>
              <w:rPr/>
              <w:t>1.针对本项目实际需求提供实质性承诺或合理化建议计 5 分； 2.有实质性承诺或合理化建议但不适用于本项目计 2 分； 3.未提供不计分。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供应商提供2021年1月1日（以合同签订日期为准）至今承担过的类似项目的业绩合同，每提供一份计2分，满分6分。 备注：提供合同（包括合同服务内容、合同金额、合同签订日期），否则不计分。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满足磋商文件要求的有效磋商报价的最低值为评审基准价，其价格分为满分。其他响应供应商的价格分统一按照下列公式计算：磋商报价得分=（评审基准价／磋商报价）×30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标的清单</w:t>
            </w:r>
          </w:p>
          <w:p>
            <w:pPr>
              <w:pStyle w:val="null3"/>
            </w:pPr>
            <w:r>
              <w:rPr/>
              <w:t>响应报价表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详见附件：承诺书</w:t>
      </w:r>
    </w:p>
    <w:p>
      <w:pPr>
        <w:pStyle w:val="null3"/>
        <w:ind w:firstLine="960"/>
      </w:pPr>
      <w:r>
        <w:rPr/>
        <w:t>详见附件：磋商响应方案</w:t>
      </w:r>
    </w:p>
    <w:p>
      <w:pPr>
        <w:pStyle w:val="null3"/>
        <w:ind w:firstLine="960"/>
      </w:pPr>
      <w:r>
        <w:rPr/>
        <w:t>详见附件：商务要求及合同条款响应偏离表</w:t>
      </w:r>
    </w:p>
    <w:p>
      <w:pPr>
        <w:pStyle w:val="null3"/>
        <w:ind w:firstLine="960"/>
      </w:pPr>
      <w:r>
        <w:rPr/>
        <w:t>详见附件：项目团队</w:t>
      </w:r>
    </w:p>
    <w:p>
      <w:pPr>
        <w:pStyle w:val="null3"/>
        <w:ind w:firstLine="960"/>
      </w:pPr>
      <w:r>
        <w:rPr/>
        <w:t>详见附件：业绩一览表</w:t>
      </w:r>
    </w:p>
    <w:p>
      <w:pPr>
        <w:pStyle w:val="null3"/>
        <w:ind w:firstLine="960"/>
      </w:pPr>
      <w:r>
        <w:rPr/>
        <w:t>详见附件：响应报价表</w:t>
      </w:r>
    </w:p>
    <w:p>
      <w:pPr>
        <w:pStyle w:val="null3"/>
        <w:ind w:firstLine="960"/>
      </w:pPr>
      <w:r>
        <w:rPr/>
        <w:t>详见附件：供应商资格证明材料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