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8FCB9D">
      <w:pPr>
        <w:keepNext/>
        <w:numPr>
          <w:ilvl w:val="0"/>
          <w:numId w:val="1"/>
        </w:numPr>
        <w:spacing w:before="210" w:beforeLines="50" w:after="210" w:afterLines="50" w:line="360" w:lineRule="auto"/>
        <w:jc w:val="center"/>
        <w:outlineLvl w:val="0"/>
        <w:rPr>
          <w:rFonts w:hint="eastAsia" w:ascii="宋体" w:hAnsi="宋体" w:eastAsia="宋体" w:cs="宋体"/>
          <w:bCs/>
          <w:kern w:val="36"/>
          <w:sz w:val="32"/>
          <w:szCs w:val="32"/>
          <w:lang w:val="en-US" w:eastAsia="zh-CN" w:bidi="ar-SA"/>
        </w:rPr>
      </w:pPr>
      <w:r>
        <w:rPr>
          <w:rFonts w:hint="eastAsia" w:ascii="宋体" w:hAnsi="宋体" w:eastAsia="宋体" w:cs="宋体"/>
          <w:bCs/>
          <w:kern w:val="36"/>
          <w:sz w:val="32"/>
          <w:szCs w:val="32"/>
          <w:lang w:val="en-US" w:eastAsia="zh-CN" w:bidi="ar-SA"/>
        </w:rPr>
        <w:t>合同文本</w:t>
      </w:r>
    </w:p>
    <w:p w14:paraId="1E3BB4CC">
      <w:pPr>
        <w:pageBreakBefore w:val="0"/>
        <w:widowControl w:val="0"/>
        <w:wordWrap/>
        <w:overflowPunct/>
        <w:topLinePunct w:val="0"/>
        <w:autoSpaceDE/>
        <w:autoSpaceDN/>
        <w:bidi w:val="0"/>
        <w:adjustRightInd w:val="0"/>
        <w:snapToGrid w:val="0"/>
        <w:spacing w:line="360" w:lineRule="auto"/>
        <w:ind w:firstLine="482" w:firstLineChars="200"/>
        <w:jc w:val="both"/>
        <w:textAlignment w:val="auto"/>
        <w:rPr>
          <w:rFonts w:hint="eastAsia" w:ascii="宋体" w:hAnsi="宋体" w:eastAsia="宋体" w:cs="宋体"/>
          <w:b/>
          <w:kern w:val="2"/>
          <w:sz w:val="24"/>
          <w:szCs w:val="24"/>
          <w:highlight w:val="none"/>
        </w:rPr>
      </w:pPr>
      <w:r>
        <w:rPr>
          <w:rFonts w:hint="eastAsia" w:ascii="宋体" w:hAnsi="宋体" w:eastAsia="宋体" w:cs="宋体"/>
          <w:b/>
          <w:kern w:val="2"/>
          <w:sz w:val="24"/>
          <w:szCs w:val="24"/>
          <w:highlight w:val="none"/>
        </w:rPr>
        <w:t>采购人（</w:t>
      </w:r>
      <w:r>
        <w:rPr>
          <w:rFonts w:hint="eastAsia" w:ascii="宋体" w:hAnsi="宋体" w:eastAsia="宋体" w:cs="宋体"/>
          <w:b/>
          <w:kern w:val="2"/>
          <w:sz w:val="24"/>
          <w:szCs w:val="24"/>
          <w:highlight w:val="none"/>
          <w:lang w:val="en-US" w:eastAsia="zh-CN"/>
        </w:rPr>
        <w:t>甲方</w:t>
      </w:r>
      <w:r>
        <w:rPr>
          <w:rFonts w:hint="eastAsia" w:ascii="宋体" w:hAnsi="宋体" w:eastAsia="宋体" w:cs="宋体"/>
          <w:b/>
          <w:kern w:val="2"/>
          <w:sz w:val="24"/>
          <w:szCs w:val="24"/>
          <w:highlight w:val="none"/>
        </w:rPr>
        <w:t>）：</w:t>
      </w:r>
      <w:r>
        <w:rPr>
          <w:rFonts w:hint="eastAsia" w:ascii="宋体" w:hAnsi="宋体" w:eastAsia="宋体" w:cs="宋体"/>
          <w:b/>
          <w:kern w:val="2"/>
          <w:sz w:val="24"/>
          <w:szCs w:val="24"/>
          <w:highlight w:val="none"/>
          <w:u w:val="single"/>
          <w:lang w:val="en-US" w:eastAsia="zh-CN"/>
        </w:rPr>
        <w:t xml:space="preserve">            </w:t>
      </w:r>
      <w:r>
        <w:rPr>
          <w:rFonts w:hint="eastAsia" w:ascii="宋体" w:hAnsi="宋体" w:eastAsia="宋体" w:cs="宋体"/>
          <w:b/>
          <w:kern w:val="2"/>
          <w:sz w:val="24"/>
          <w:szCs w:val="24"/>
          <w:highlight w:val="none"/>
          <w:u w:val="single"/>
        </w:rPr>
        <w:t xml:space="preserve">                      </w:t>
      </w:r>
    </w:p>
    <w:p w14:paraId="691A8566">
      <w:pPr>
        <w:pageBreakBefore w:val="0"/>
        <w:widowControl w:val="0"/>
        <w:wordWrap/>
        <w:overflowPunct/>
        <w:topLinePunct w:val="0"/>
        <w:autoSpaceDE/>
        <w:autoSpaceDN/>
        <w:bidi w:val="0"/>
        <w:adjustRightInd w:val="0"/>
        <w:snapToGrid w:val="0"/>
        <w:spacing w:line="360" w:lineRule="auto"/>
        <w:ind w:firstLine="482" w:firstLineChars="200"/>
        <w:jc w:val="both"/>
        <w:textAlignment w:val="auto"/>
        <w:rPr>
          <w:rFonts w:hint="eastAsia" w:ascii="宋体" w:hAnsi="宋体" w:eastAsia="宋体" w:cs="宋体"/>
          <w:kern w:val="2"/>
          <w:sz w:val="24"/>
          <w:szCs w:val="24"/>
          <w:highlight w:val="none"/>
        </w:rPr>
      </w:pPr>
      <w:r>
        <w:rPr>
          <w:rFonts w:hint="eastAsia" w:ascii="宋体" w:hAnsi="宋体" w:eastAsia="宋体" w:cs="宋体"/>
          <w:b/>
          <w:kern w:val="2"/>
          <w:sz w:val="24"/>
          <w:szCs w:val="24"/>
          <w:highlight w:val="none"/>
          <w:lang w:val="en-US" w:eastAsia="zh-CN"/>
        </w:rPr>
        <w:t>中标人</w:t>
      </w:r>
      <w:r>
        <w:rPr>
          <w:rFonts w:hint="eastAsia" w:ascii="宋体" w:hAnsi="宋体" w:eastAsia="宋体" w:cs="宋体"/>
          <w:b/>
          <w:kern w:val="2"/>
          <w:sz w:val="24"/>
          <w:szCs w:val="24"/>
          <w:highlight w:val="none"/>
        </w:rPr>
        <w:t>（</w:t>
      </w:r>
      <w:r>
        <w:rPr>
          <w:rFonts w:hint="eastAsia" w:ascii="宋体" w:hAnsi="宋体" w:eastAsia="宋体" w:cs="宋体"/>
          <w:b/>
          <w:kern w:val="2"/>
          <w:sz w:val="24"/>
          <w:szCs w:val="24"/>
          <w:highlight w:val="none"/>
          <w:lang w:val="en-US" w:eastAsia="zh-CN"/>
        </w:rPr>
        <w:t>乙方</w:t>
      </w:r>
      <w:r>
        <w:rPr>
          <w:rFonts w:hint="eastAsia" w:ascii="宋体" w:hAnsi="宋体" w:eastAsia="宋体" w:cs="宋体"/>
          <w:b/>
          <w:kern w:val="2"/>
          <w:sz w:val="24"/>
          <w:szCs w:val="24"/>
          <w:highlight w:val="none"/>
        </w:rPr>
        <w:t>）：</w:t>
      </w:r>
      <w:r>
        <w:rPr>
          <w:rFonts w:hint="eastAsia" w:ascii="宋体" w:hAnsi="宋体" w:eastAsia="宋体" w:cs="宋体"/>
          <w:b/>
          <w:kern w:val="2"/>
          <w:sz w:val="24"/>
          <w:szCs w:val="24"/>
          <w:highlight w:val="none"/>
          <w:u w:val="single"/>
        </w:rPr>
        <w:t xml:space="preserve">                                  </w:t>
      </w:r>
    </w:p>
    <w:p w14:paraId="344826B0">
      <w:pPr>
        <w:pageBreakBefore w:val="0"/>
        <w:widowControl w:val="0"/>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根据《中华人民共和国</w:t>
      </w:r>
      <w:r>
        <w:rPr>
          <w:rFonts w:hint="eastAsia" w:ascii="宋体" w:hAnsi="宋体" w:eastAsia="宋体" w:cs="宋体"/>
          <w:kern w:val="2"/>
          <w:sz w:val="24"/>
          <w:szCs w:val="24"/>
          <w:highlight w:val="none"/>
          <w:lang w:val="en-US" w:eastAsia="zh-CN"/>
        </w:rPr>
        <w:t>民法典</w:t>
      </w:r>
      <w:r>
        <w:rPr>
          <w:rFonts w:hint="eastAsia" w:ascii="宋体" w:hAnsi="宋体" w:eastAsia="宋体" w:cs="宋体"/>
          <w:kern w:val="2"/>
          <w:sz w:val="24"/>
          <w:szCs w:val="24"/>
          <w:highlight w:val="none"/>
        </w:rPr>
        <w:t>》及其他有关法律、法规，遵循平等、自愿、公平和诚信的原则，双方就下述项目范围与相关服务事项协商一致，订立本合同。</w:t>
      </w:r>
    </w:p>
    <w:p w14:paraId="5EBCA156">
      <w:pPr>
        <w:pageBreakBefore w:val="0"/>
        <w:widowControl w:val="0"/>
        <w:wordWrap/>
        <w:overflowPunct/>
        <w:topLinePunct w:val="0"/>
        <w:autoSpaceDE/>
        <w:autoSpaceDN/>
        <w:bidi w:val="0"/>
        <w:spacing w:line="360" w:lineRule="auto"/>
        <w:jc w:val="both"/>
        <w:textAlignment w:val="auto"/>
        <w:rPr>
          <w:rFonts w:hint="eastAsia" w:ascii="宋体" w:hAnsi="宋体" w:eastAsia="宋体" w:cs="宋体"/>
          <w:b/>
          <w:kern w:val="2"/>
          <w:sz w:val="24"/>
          <w:szCs w:val="24"/>
          <w:highlight w:val="none"/>
        </w:rPr>
      </w:pPr>
      <w:r>
        <w:rPr>
          <w:rFonts w:hint="eastAsia" w:ascii="宋体" w:hAnsi="宋体" w:eastAsia="宋体" w:cs="宋体"/>
          <w:b/>
          <w:kern w:val="2"/>
          <w:sz w:val="24"/>
          <w:szCs w:val="24"/>
          <w:highlight w:val="none"/>
        </w:rPr>
        <w:t>一、项目概况</w:t>
      </w:r>
    </w:p>
    <w:p w14:paraId="6557AFB9">
      <w:pPr>
        <w:pageBreakBefore w:val="0"/>
        <w:widowControl w:val="0"/>
        <w:wordWrap/>
        <w:overflowPunct/>
        <w:topLinePunct w:val="0"/>
        <w:autoSpaceDE/>
        <w:autoSpaceDN/>
        <w:bidi w:val="0"/>
        <w:adjustRightInd w:val="0"/>
        <w:snapToGrid w:val="0"/>
        <w:spacing w:line="360" w:lineRule="auto"/>
        <w:ind w:left="660" w:leftChars="200" w:hanging="240" w:hangingChars="100"/>
        <w:jc w:val="left"/>
        <w:textAlignment w:val="auto"/>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1.项目名称：</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rPr>
        <w:t>；</w:t>
      </w:r>
    </w:p>
    <w:p w14:paraId="5B4D6CD3">
      <w:pPr>
        <w:pageBreakBefore w:val="0"/>
        <w:widowControl w:val="0"/>
        <w:wordWrap/>
        <w:overflowPunct/>
        <w:topLinePunct w:val="0"/>
        <w:autoSpaceDE/>
        <w:autoSpaceDN/>
        <w:bidi w:val="0"/>
        <w:adjustRightInd w:val="0"/>
        <w:snapToGrid w:val="0"/>
        <w:spacing w:line="360" w:lineRule="auto"/>
        <w:ind w:left="660" w:leftChars="200" w:hanging="240" w:hangingChars="100"/>
        <w:jc w:val="left"/>
        <w:textAlignment w:val="auto"/>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2.项目地点：</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w:t>
      </w:r>
    </w:p>
    <w:p w14:paraId="5653C666">
      <w:pPr>
        <w:pageBreakBefore w:val="0"/>
        <w:widowControl w:val="0"/>
        <w:wordWrap/>
        <w:overflowPunct/>
        <w:topLinePunct w:val="0"/>
        <w:autoSpaceDE/>
        <w:autoSpaceDN/>
        <w:bidi w:val="0"/>
        <w:spacing w:line="360" w:lineRule="auto"/>
        <w:jc w:val="both"/>
        <w:textAlignment w:val="auto"/>
        <w:rPr>
          <w:rFonts w:hint="eastAsia" w:ascii="宋体" w:hAnsi="宋体" w:eastAsia="宋体" w:cs="宋体"/>
          <w:b/>
          <w:kern w:val="2"/>
          <w:sz w:val="24"/>
          <w:szCs w:val="24"/>
          <w:highlight w:val="none"/>
        </w:rPr>
      </w:pPr>
      <w:r>
        <w:rPr>
          <w:rFonts w:hint="eastAsia" w:ascii="宋体" w:hAnsi="宋体" w:eastAsia="宋体" w:cs="宋体"/>
          <w:b/>
          <w:kern w:val="2"/>
          <w:sz w:val="24"/>
          <w:szCs w:val="24"/>
          <w:highlight w:val="none"/>
        </w:rPr>
        <w:t>二、组成本合同的文件</w:t>
      </w:r>
    </w:p>
    <w:p w14:paraId="4BAE568B">
      <w:pPr>
        <w:pageBreakBefore w:val="0"/>
        <w:widowControl w:val="0"/>
        <w:wordWrap/>
        <w:overflowPunct/>
        <w:topLinePunct w:val="0"/>
        <w:autoSpaceDE/>
        <w:autoSpaceDN/>
        <w:bidi w:val="0"/>
        <w:adjustRightInd w:val="0"/>
        <w:snapToGrid w:val="0"/>
        <w:spacing w:line="360" w:lineRule="auto"/>
        <w:ind w:firstLine="475" w:firstLineChars="198"/>
        <w:jc w:val="both"/>
        <w:textAlignment w:val="auto"/>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1.协议书；</w:t>
      </w:r>
    </w:p>
    <w:p w14:paraId="12D8DC90">
      <w:pPr>
        <w:pageBreakBefore w:val="0"/>
        <w:widowControl w:val="0"/>
        <w:wordWrap/>
        <w:overflowPunct/>
        <w:topLinePunct w:val="0"/>
        <w:autoSpaceDE/>
        <w:autoSpaceDN/>
        <w:bidi w:val="0"/>
        <w:adjustRightInd w:val="0"/>
        <w:snapToGrid w:val="0"/>
        <w:spacing w:line="360" w:lineRule="auto"/>
        <w:ind w:firstLine="475" w:firstLineChars="198"/>
        <w:jc w:val="both"/>
        <w:textAlignment w:val="auto"/>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2.</w:t>
      </w:r>
      <w:r>
        <w:rPr>
          <w:rFonts w:hint="eastAsia" w:ascii="宋体" w:hAnsi="宋体" w:eastAsia="宋体" w:cs="宋体"/>
          <w:kern w:val="2"/>
          <w:sz w:val="24"/>
          <w:szCs w:val="24"/>
          <w:highlight w:val="none"/>
          <w:lang w:val="en-US" w:eastAsia="zh-CN"/>
        </w:rPr>
        <w:t>中标</w:t>
      </w:r>
      <w:r>
        <w:rPr>
          <w:rFonts w:hint="eastAsia" w:ascii="宋体" w:hAnsi="宋体" w:eastAsia="宋体" w:cs="宋体"/>
          <w:kern w:val="2"/>
          <w:sz w:val="24"/>
          <w:szCs w:val="24"/>
          <w:highlight w:val="none"/>
        </w:rPr>
        <w:t>通知书、</w:t>
      </w:r>
      <w:r>
        <w:rPr>
          <w:rFonts w:hint="eastAsia" w:ascii="宋体" w:hAnsi="宋体" w:eastAsia="宋体" w:cs="宋体"/>
          <w:kern w:val="2"/>
          <w:sz w:val="24"/>
          <w:szCs w:val="24"/>
          <w:highlight w:val="none"/>
          <w:lang w:val="en-US" w:eastAsia="zh-CN"/>
        </w:rPr>
        <w:t>招标</w:t>
      </w:r>
      <w:r>
        <w:rPr>
          <w:rFonts w:hint="eastAsia" w:ascii="宋体" w:hAnsi="宋体" w:eastAsia="宋体" w:cs="宋体"/>
          <w:kern w:val="2"/>
          <w:sz w:val="24"/>
          <w:szCs w:val="24"/>
          <w:highlight w:val="none"/>
        </w:rPr>
        <w:t>文件、</w:t>
      </w:r>
      <w:r>
        <w:rPr>
          <w:rFonts w:hint="eastAsia" w:ascii="宋体" w:hAnsi="宋体" w:eastAsia="宋体" w:cs="宋体"/>
          <w:kern w:val="2"/>
          <w:sz w:val="24"/>
          <w:szCs w:val="24"/>
          <w:highlight w:val="none"/>
          <w:lang w:val="en-US" w:eastAsia="zh-CN"/>
        </w:rPr>
        <w:t>投标</w:t>
      </w:r>
      <w:r>
        <w:rPr>
          <w:rFonts w:hint="eastAsia" w:ascii="宋体" w:hAnsi="宋体" w:eastAsia="宋体" w:cs="宋体"/>
          <w:kern w:val="2"/>
          <w:sz w:val="24"/>
          <w:szCs w:val="24"/>
          <w:highlight w:val="none"/>
        </w:rPr>
        <w:t>文件、澄清、</w:t>
      </w:r>
      <w:r>
        <w:rPr>
          <w:rFonts w:hint="eastAsia" w:ascii="宋体" w:hAnsi="宋体" w:eastAsia="宋体" w:cs="宋体"/>
          <w:kern w:val="2"/>
          <w:sz w:val="24"/>
          <w:szCs w:val="24"/>
          <w:highlight w:val="none"/>
          <w:lang w:val="en-US" w:eastAsia="zh-CN"/>
        </w:rPr>
        <w:t>投标</w:t>
      </w:r>
      <w:r>
        <w:rPr>
          <w:rFonts w:hint="eastAsia" w:ascii="宋体" w:hAnsi="宋体" w:eastAsia="宋体" w:cs="宋体"/>
          <w:kern w:val="2"/>
          <w:sz w:val="24"/>
          <w:szCs w:val="24"/>
          <w:highlight w:val="none"/>
        </w:rPr>
        <w:t>补充文件；</w:t>
      </w:r>
    </w:p>
    <w:p w14:paraId="5E9738C8">
      <w:pPr>
        <w:pageBreakBefore w:val="0"/>
        <w:widowControl w:val="0"/>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lang w:val="en-US" w:eastAsia="zh-CN"/>
        </w:rPr>
        <w:t>3</w:t>
      </w:r>
      <w:r>
        <w:rPr>
          <w:rFonts w:hint="eastAsia" w:ascii="宋体" w:hAnsi="宋体" w:eastAsia="宋体" w:cs="宋体"/>
          <w:kern w:val="2"/>
          <w:sz w:val="24"/>
          <w:szCs w:val="24"/>
          <w:highlight w:val="none"/>
        </w:rPr>
        <w:t>.附录，即：附表内相关</w:t>
      </w:r>
      <w:r>
        <w:rPr>
          <w:rFonts w:hint="eastAsia" w:ascii="宋体" w:hAnsi="宋体" w:eastAsia="宋体" w:cs="宋体"/>
          <w:kern w:val="2"/>
          <w:sz w:val="24"/>
          <w:szCs w:val="24"/>
          <w:highlight w:val="none"/>
          <w:lang w:val="en-US" w:eastAsia="zh-CN"/>
        </w:rPr>
        <w:t>货物及服务</w:t>
      </w:r>
      <w:r>
        <w:rPr>
          <w:rFonts w:hint="eastAsia" w:ascii="宋体" w:hAnsi="宋体" w:eastAsia="宋体" w:cs="宋体"/>
          <w:kern w:val="2"/>
          <w:sz w:val="24"/>
          <w:szCs w:val="24"/>
          <w:highlight w:val="none"/>
        </w:rPr>
        <w:t>的范围和内容；</w:t>
      </w:r>
    </w:p>
    <w:p w14:paraId="22DE979E">
      <w:pPr>
        <w:pageBreakBefore w:val="0"/>
        <w:widowControl w:val="0"/>
        <w:wordWrap/>
        <w:overflowPunct/>
        <w:topLinePunct w:val="0"/>
        <w:autoSpaceDE/>
        <w:autoSpaceDN/>
        <w:bidi w:val="0"/>
        <w:adjustRightInd w:val="0"/>
        <w:snapToGrid w:val="0"/>
        <w:spacing w:line="360" w:lineRule="auto"/>
        <w:ind w:firstLine="475" w:firstLineChars="198"/>
        <w:jc w:val="both"/>
        <w:textAlignment w:val="auto"/>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本合同签订后，双方依法签订的补充协议也是本合同文件的组成部分。</w:t>
      </w:r>
    </w:p>
    <w:p w14:paraId="6BB36648">
      <w:pPr>
        <w:pageBreakBefore w:val="0"/>
        <w:widowControl w:val="0"/>
        <w:wordWrap/>
        <w:overflowPunct/>
        <w:topLinePunct w:val="0"/>
        <w:autoSpaceDE/>
        <w:autoSpaceDN/>
        <w:bidi w:val="0"/>
        <w:spacing w:line="360" w:lineRule="auto"/>
        <w:jc w:val="both"/>
        <w:textAlignment w:val="auto"/>
        <w:rPr>
          <w:rFonts w:hint="eastAsia" w:ascii="宋体" w:hAnsi="宋体" w:eastAsia="宋体" w:cs="宋体"/>
          <w:b/>
          <w:kern w:val="2"/>
          <w:sz w:val="24"/>
          <w:szCs w:val="24"/>
          <w:highlight w:val="none"/>
        </w:rPr>
      </w:pPr>
      <w:r>
        <w:rPr>
          <w:rFonts w:hint="eastAsia" w:ascii="宋体" w:hAnsi="宋体" w:eastAsia="宋体" w:cs="宋体"/>
          <w:b/>
          <w:kern w:val="2"/>
          <w:sz w:val="24"/>
          <w:szCs w:val="24"/>
          <w:highlight w:val="none"/>
        </w:rPr>
        <w:t>三、合同金额</w:t>
      </w:r>
    </w:p>
    <w:p w14:paraId="19EC88EC">
      <w:pPr>
        <w:pageBreakBefore w:val="0"/>
        <w:widowControl w:val="0"/>
        <w:wordWrap/>
        <w:overflowPunct/>
        <w:topLinePunct w:val="0"/>
        <w:autoSpaceDE/>
        <w:autoSpaceDN/>
        <w:bidi w:val="0"/>
        <w:adjustRightInd w:val="0"/>
        <w:snapToGrid w:val="0"/>
        <w:spacing w:line="360" w:lineRule="auto"/>
        <w:ind w:firstLine="475" w:firstLineChars="198"/>
        <w:jc w:val="both"/>
        <w:textAlignment w:val="auto"/>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合同金额（大写）：</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        ）。</w:t>
      </w:r>
    </w:p>
    <w:p w14:paraId="3064725B">
      <w:pPr>
        <w:pageBreakBefore w:val="0"/>
        <w:widowControl w:val="0"/>
        <w:wordWrap/>
        <w:overflowPunct/>
        <w:topLinePunct w:val="0"/>
        <w:autoSpaceDE/>
        <w:autoSpaceDN/>
        <w:bidi w:val="0"/>
        <w:adjustRightInd w:val="0"/>
        <w:snapToGrid w:val="0"/>
        <w:spacing w:line="360" w:lineRule="auto"/>
        <w:ind w:firstLine="475" w:firstLineChars="198"/>
        <w:jc w:val="both"/>
        <w:textAlignment w:val="auto"/>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合同总价即中标价，为一次性报价，不受市场价变化或实际工作量变化的影响。合同价格为含税价，</w:t>
      </w:r>
      <w:r>
        <w:rPr>
          <w:rFonts w:hint="eastAsia" w:ascii="宋体" w:hAnsi="宋体" w:eastAsia="宋体" w:cs="宋体"/>
          <w:kern w:val="2"/>
          <w:sz w:val="24"/>
          <w:szCs w:val="24"/>
          <w:highlight w:val="none"/>
          <w:lang w:val="en-US" w:eastAsia="zh-CN"/>
        </w:rPr>
        <w:t>乙方</w:t>
      </w:r>
      <w:r>
        <w:rPr>
          <w:rFonts w:hint="eastAsia" w:ascii="宋体" w:hAnsi="宋体" w:eastAsia="宋体" w:cs="宋体"/>
          <w:kern w:val="2"/>
          <w:sz w:val="24"/>
          <w:szCs w:val="24"/>
          <w:highlight w:val="none"/>
        </w:rPr>
        <w:t>提供产品所发生的一切税（包括增值税）费等都已包含于合同价款中。</w:t>
      </w:r>
    </w:p>
    <w:p w14:paraId="0FE2EF60">
      <w:pPr>
        <w:pageBreakBefore w:val="0"/>
        <w:widowControl w:val="0"/>
        <w:wordWrap/>
        <w:overflowPunct/>
        <w:topLinePunct w:val="0"/>
        <w:autoSpaceDE/>
        <w:autoSpaceDN/>
        <w:bidi w:val="0"/>
        <w:adjustRightInd w:val="0"/>
        <w:snapToGrid w:val="0"/>
        <w:spacing w:line="360" w:lineRule="auto"/>
        <w:jc w:val="both"/>
        <w:textAlignment w:val="auto"/>
        <w:rPr>
          <w:rFonts w:hint="eastAsia" w:ascii="宋体" w:hAnsi="宋体" w:eastAsia="宋体" w:cs="宋体"/>
          <w:b/>
          <w:kern w:val="2"/>
          <w:sz w:val="24"/>
          <w:szCs w:val="24"/>
          <w:highlight w:val="none"/>
        </w:rPr>
      </w:pPr>
      <w:r>
        <w:rPr>
          <w:rFonts w:hint="eastAsia" w:ascii="宋体" w:hAnsi="宋体" w:eastAsia="宋体" w:cs="宋体"/>
          <w:b/>
          <w:kern w:val="2"/>
          <w:sz w:val="24"/>
          <w:szCs w:val="24"/>
          <w:highlight w:val="none"/>
        </w:rPr>
        <w:t>四、结算方式</w:t>
      </w:r>
    </w:p>
    <w:p w14:paraId="5CC8F64D">
      <w:pPr>
        <w:pageBreakBefore w:val="0"/>
        <w:widowControl w:val="0"/>
        <w:wordWrap/>
        <w:overflowPunct/>
        <w:topLinePunct w:val="0"/>
        <w:autoSpaceDE/>
        <w:autoSpaceDN/>
        <w:bidi w:val="0"/>
        <w:adjustRightInd w:val="0"/>
        <w:snapToGrid w:val="0"/>
        <w:spacing w:line="360" w:lineRule="auto"/>
        <w:ind w:firstLine="475" w:firstLineChars="198"/>
        <w:jc w:val="both"/>
        <w:textAlignment w:val="auto"/>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4"/>
          <w:highlight w:val="none"/>
          <w:lang w:val="en-US" w:eastAsia="zh-CN"/>
        </w:rPr>
        <w:t>1.结算单位：采购人结算，在付款前必须开具等额发票给采购人。</w:t>
      </w:r>
    </w:p>
    <w:p w14:paraId="1AD3FC67">
      <w:pPr>
        <w:pageBreakBefore w:val="0"/>
        <w:widowControl w:val="0"/>
        <w:wordWrap/>
        <w:overflowPunct/>
        <w:topLinePunct w:val="0"/>
        <w:autoSpaceDE/>
        <w:autoSpaceDN/>
        <w:bidi w:val="0"/>
        <w:adjustRightInd w:val="0"/>
        <w:snapToGrid w:val="0"/>
        <w:spacing w:line="360" w:lineRule="auto"/>
        <w:ind w:firstLine="475" w:firstLineChars="198"/>
        <w:jc w:val="both"/>
        <w:textAlignment w:val="auto"/>
        <w:rPr>
          <w:rFonts w:hint="eastAsia" w:ascii="宋体" w:hAnsi="宋体" w:eastAsia="宋体" w:cs="宋体"/>
          <w:kern w:val="2"/>
          <w:sz w:val="24"/>
          <w:szCs w:val="24"/>
          <w:highlight w:val="yellow"/>
        </w:rPr>
      </w:pPr>
      <w:r>
        <w:rPr>
          <w:rFonts w:hint="eastAsia" w:ascii="宋体" w:hAnsi="宋体" w:eastAsia="宋体" w:cs="宋体"/>
          <w:kern w:val="2"/>
          <w:sz w:val="24"/>
          <w:szCs w:val="24"/>
          <w:highlight w:val="none"/>
          <w:lang w:val="en-US" w:eastAsia="zh-CN"/>
        </w:rPr>
        <w:t>2.结算方式：设备到货验收完成支付40%的合同款；设备安装调试完毕后，试运行、检测、仪器质量检查等最终验收合格且环境质量检测合格并出具检测报告后支付60%的合同款。</w:t>
      </w:r>
    </w:p>
    <w:p w14:paraId="6F2A682A">
      <w:pPr>
        <w:pageBreakBefore w:val="0"/>
        <w:widowControl w:val="0"/>
        <w:wordWrap/>
        <w:overflowPunct/>
        <w:topLinePunct w:val="0"/>
        <w:autoSpaceDE/>
        <w:autoSpaceDN/>
        <w:bidi w:val="0"/>
        <w:adjustRightInd w:val="0"/>
        <w:snapToGrid w:val="0"/>
        <w:spacing w:line="360" w:lineRule="auto"/>
        <w:jc w:val="both"/>
        <w:textAlignment w:val="auto"/>
        <w:rPr>
          <w:rFonts w:hint="eastAsia" w:ascii="宋体" w:hAnsi="宋体" w:eastAsia="宋体" w:cs="宋体"/>
          <w:b w:val="0"/>
          <w:bCs/>
          <w:kern w:val="2"/>
          <w:sz w:val="24"/>
          <w:szCs w:val="24"/>
          <w:highlight w:val="none"/>
          <w:lang w:val="en-US" w:eastAsia="zh-CN"/>
        </w:rPr>
      </w:pPr>
      <w:r>
        <w:rPr>
          <w:rFonts w:hint="eastAsia" w:ascii="宋体" w:hAnsi="宋体" w:eastAsia="宋体" w:cs="宋体"/>
          <w:b/>
          <w:kern w:val="2"/>
          <w:sz w:val="24"/>
          <w:szCs w:val="24"/>
          <w:highlight w:val="none"/>
        </w:rPr>
        <w:t>五、</w:t>
      </w:r>
      <w:r>
        <w:rPr>
          <w:rFonts w:hint="eastAsia" w:ascii="宋体" w:hAnsi="宋体" w:eastAsia="宋体" w:cs="宋体"/>
          <w:b/>
          <w:kern w:val="2"/>
          <w:sz w:val="24"/>
          <w:szCs w:val="24"/>
          <w:highlight w:val="none"/>
          <w:lang w:val="en-US" w:eastAsia="zh-CN"/>
        </w:rPr>
        <w:t>供货</w:t>
      </w:r>
      <w:r>
        <w:rPr>
          <w:rFonts w:hint="eastAsia" w:ascii="宋体" w:hAnsi="宋体" w:eastAsia="宋体" w:cs="宋体"/>
          <w:b/>
          <w:kern w:val="2"/>
          <w:sz w:val="24"/>
          <w:szCs w:val="24"/>
          <w:highlight w:val="none"/>
        </w:rPr>
        <w:t>期</w:t>
      </w:r>
      <w:r>
        <w:rPr>
          <w:rFonts w:hint="eastAsia" w:ascii="宋体" w:hAnsi="宋体" w:eastAsia="宋体" w:cs="宋体"/>
          <w:b/>
          <w:kern w:val="2"/>
          <w:sz w:val="24"/>
          <w:szCs w:val="24"/>
          <w:highlight w:val="none"/>
          <w:lang w:eastAsia="zh-CN"/>
        </w:rPr>
        <w:t>：</w:t>
      </w:r>
      <w:r>
        <w:rPr>
          <w:rFonts w:hint="eastAsia" w:ascii="宋体" w:hAnsi="宋体" w:eastAsia="宋体" w:cs="宋体"/>
          <w:b w:val="0"/>
          <w:bCs/>
          <w:kern w:val="2"/>
          <w:sz w:val="24"/>
          <w:szCs w:val="24"/>
          <w:highlight w:val="none"/>
          <w:lang w:val="en-US" w:eastAsia="zh-CN"/>
        </w:rPr>
        <w:t>自合同签订之日起</w:t>
      </w:r>
      <w:r>
        <w:rPr>
          <w:rFonts w:hint="eastAsia" w:ascii="宋体" w:hAnsi="宋体" w:eastAsia="宋体" w:cs="宋体"/>
          <w:b w:val="0"/>
          <w:bCs/>
          <w:kern w:val="2"/>
          <w:sz w:val="24"/>
          <w:szCs w:val="24"/>
          <w:highlight w:val="none"/>
          <w:u w:val="single"/>
          <w:lang w:val="en-US" w:eastAsia="zh-CN"/>
        </w:rPr>
        <w:t xml:space="preserve">       </w:t>
      </w:r>
      <w:r>
        <w:rPr>
          <w:rFonts w:hint="eastAsia" w:ascii="宋体" w:hAnsi="宋体" w:eastAsia="宋体" w:cs="宋体"/>
          <w:b w:val="0"/>
          <w:bCs/>
          <w:kern w:val="2"/>
          <w:sz w:val="24"/>
          <w:szCs w:val="24"/>
          <w:highlight w:val="none"/>
          <w:lang w:val="en-US" w:eastAsia="zh-CN"/>
        </w:rPr>
        <w:t xml:space="preserve"> 个日历日内完成供货及安装。</w:t>
      </w:r>
    </w:p>
    <w:p w14:paraId="2D4A89A2">
      <w:pPr>
        <w:pageBreakBefore w:val="0"/>
        <w:widowControl w:val="0"/>
        <w:wordWrap/>
        <w:overflowPunct/>
        <w:topLinePunct w:val="0"/>
        <w:autoSpaceDE/>
        <w:autoSpaceDN/>
        <w:bidi w:val="0"/>
        <w:adjustRightInd w:val="0"/>
        <w:snapToGrid w:val="0"/>
        <w:spacing w:line="360" w:lineRule="auto"/>
        <w:jc w:val="both"/>
        <w:textAlignment w:val="auto"/>
        <w:rPr>
          <w:rFonts w:hint="eastAsia" w:ascii="宋体" w:hAnsi="宋体" w:eastAsia="宋体" w:cs="宋体"/>
          <w:b w:val="0"/>
          <w:bCs w:val="0"/>
          <w:kern w:val="2"/>
          <w:sz w:val="24"/>
          <w:szCs w:val="24"/>
          <w:highlight w:val="yellow"/>
          <w:lang w:val="en-US" w:eastAsia="zh-CN"/>
        </w:rPr>
      </w:pPr>
      <w:r>
        <w:rPr>
          <w:rFonts w:hint="eastAsia" w:ascii="宋体" w:hAnsi="宋体" w:eastAsia="宋体" w:cs="宋体"/>
          <w:b/>
          <w:kern w:val="2"/>
          <w:sz w:val="24"/>
          <w:szCs w:val="24"/>
          <w:highlight w:val="none"/>
        </w:rPr>
        <w:t>六、质保期</w:t>
      </w:r>
      <w:r>
        <w:rPr>
          <w:rFonts w:hint="eastAsia" w:ascii="宋体" w:hAnsi="宋体" w:eastAsia="宋体" w:cs="宋体"/>
          <w:b/>
          <w:kern w:val="2"/>
          <w:sz w:val="24"/>
          <w:szCs w:val="24"/>
          <w:highlight w:val="none"/>
          <w:lang w:eastAsia="zh-CN"/>
        </w:rPr>
        <w:t>：</w:t>
      </w:r>
      <w:r>
        <w:rPr>
          <w:rFonts w:hint="eastAsia" w:ascii="宋体" w:hAnsi="宋体" w:eastAsia="宋体" w:cs="宋体"/>
          <w:b w:val="0"/>
          <w:bCs w:val="0"/>
          <w:kern w:val="2"/>
          <w:sz w:val="24"/>
          <w:szCs w:val="24"/>
          <w:highlight w:val="none"/>
          <w:lang w:val="en-US" w:eastAsia="zh-CN"/>
        </w:rPr>
        <w:t>设备自验收合格之日起</w:t>
      </w:r>
      <w:r>
        <w:rPr>
          <w:rFonts w:hint="eastAsia" w:ascii="宋体" w:hAnsi="宋体" w:eastAsia="宋体" w:cs="宋体"/>
          <w:b w:val="0"/>
          <w:bCs w:val="0"/>
          <w:kern w:val="2"/>
          <w:sz w:val="24"/>
          <w:szCs w:val="24"/>
          <w:highlight w:val="none"/>
          <w:u w:val="single"/>
          <w:lang w:val="en-US" w:eastAsia="zh-CN"/>
        </w:rPr>
        <w:t xml:space="preserve">        </w:t>
      </w:r>
      <w:r>
        <w:rPr>
          <w:rFonts w:hint="eastAsia" w:ascii="宋体" w:hAnsi="宋体" w:eastAsia="宋体" w:cs="宋体"/>
          <w:b w:val="0"/>
          <w:bCs w:val="0"/>
          <w:kern w:val="2"/>
          <w:sz w:val="24"/>
          <w:szCs w:val="24"/>
          <w:highlight w:val="none"/>
          <w:lang w:val="en-US" w:eastAsia="zh-CN"/>
        </w:rPr>
        <w:t>年免费质保。</w:t>
      </w:r>
    </w:p>
    <w:p w14:paraId="43FC2857">
      <w:pPr>
        <w:pageBreakBefore w:val="0"/>
        <w:widowControl w:val="0"/>
        <w:wordWrap/>
        <w:overflowPunct/>
        <w:topLinePunct w:val="0"/>
        <w:autoSpaceDE/>
        <w:autoSpaceDN/>
        <w:bidi w:val="0"/>
        <w:adjustRightInd w:val="0"/>
        <w:snapToGrid w:val="0"/>
        <w:spacing w:line="360" w:lineRule="auto"/>
        <w:jc w:val="both"/>
        <w:textAlignment w:val="auto"/>
        <w:rPr>
          <w:rFonts w:hint="eastAsia" w:ascii="宋体" w:hAnsi="宋体" w:eastAsia="宋体" w:cs="宋体"/>
          <w:b/>
          <w:kern w:val="2"/>
          <w:sz w:val="24"/>
          <w:szCs w:val="24"/>
          <w:highlight w:val="none"/>
        </w:rPr>
      </w:pPr>
      <w:r>
        <w:rPr>
          <w:rFonts w:hint="eastAsia" w:ascii="宋体" w:hAnsi="宋体" w:eastAsia="宋体" w:cs="宋体"/>
          <w:b/>
          <w:kern w:val="2"/>
          <w:sz w:val="24"/>
          <w:szCs w:val="24"/>
          <w:highlight w:val="none"/>
        </w:rPr>
        <w:t>七、内容及要求</w:t>
      </w:r>
    </w:p>
    <w:p w14:paraId="5E85D603">
      <w:pPr>
        <w:rPr>
          <w:rFonts w:hint="eastAsia" w:ascii="宋体" w:hAnsi="宋体" w:eastAsia="宋体" w:cs="宋体"/>
          <w:b/>
          <w:kern w:val="2"/>
          <w:sz w:val="24"/>
          <w:szCs w:val="24"/>
          <w:highlight w:val="none"/>
        </w:rPr>
      </w:pPr>
      <w:r>
        <w:rPr>
          <w:rFonts w:hint="eastAsia" w:ascii="宋体" w:hAnsi="宋体" w:eastAsia="宋体" w:cs="宋体"/>
          <w:b/>
          <w:kern w:val="2"/>
          <w:sz w:val="24"/>
          <w:szCs w:val="24"/>
          <w:highlight w:val="none"/>
        </w:rPr>
        <w:br w:type="page"/>
      </w:r>
    </w:p>
    <w:p w14:paraId="79110939">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b/>
          <w:kern w:val="2"/>
          <w:sz w:val="24"/>
          <w:szCs w:val="24"/>
          <w:highlight w:val="none"/>
        </w:rPr>
      </w:pPr>
      <w:bookmarkStart w:id="0" w:name="_GoBack"/>
      <w:bookmarkEnd w:id="0"/>
      <w:r>
        <w:rPr>
          <w:rFonts w:hint="eastAsia" w:ascii="宋体" w:hAnsi="宋体" w:eastAsia="宋体" w:cs="宋体"/>
          <w:b/>
          <w:kern w:val="2"/>
          <w:sz w:val="24"/>
          <w:szCs w:val="24"/>
          <w:highlight w:val="none"/>
        </w:rPr>
        <w:t>供货内容一览表</w:t>
      </w:r>
    </w:p>
    <w:tbl>
      <w:tblPr>
        <w:tblStyle w:val="2"/>
        <w:tblW w:w="954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75"/>
        <w:gridCol w:w="960"/>
        <w:gridCol w:w="1955"/>
        <w:gridCol w:w="1225"/>
        <w:gridCol w:w="825"/>
        <w:gridCol w:w="735"/>
        <w:gridCol w:w="1050"/>
        <w:gridCol w:w="1215"/>
        <w:gridCol w:w="903"/>
      </w:tblGrid>
      <w:tr w14:paraId="25CBCA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center"/>
          </w:tcPr>
          <w:p w14:paraId="31A9E79D">
            <w:pPr>
              <w:keepNext/>
              <w:keepLines/>
              <w:pageBreakBefore w:val="0"/>
              <w:widowControl w:val="0"/>
              <w:wordWrap/>
              <w:overflowPunct/>
              <w:topLinePunct w:val="0"/>
              <w:autoSpaceDE/>
              <w:autoSpaceDN/>
              <w:bidi w:val="0"/>
              <w:spacing w:before="0" w:beforeLines="0" w:after="0" w:afterLines="0" w:line="360" w:lineRule="auto"/>
              <w:ind w:left="0" w:leftChars="0" w:firstLine="0" w:firstLineChars="0"/>
              <w:jc w:val="center"/>
              <w:textAlignment w:val="auto"/>
              <w:outlineLvl w:val="2"/>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序号</w:t>
            </w:r>
          </w:p>
        </w:tc>
        <w:tc>
          <w:tcPr>
            <w:tcW w:w="960" w:type="dxa"/>
            <w:noWrap w:val="0"/>
            <w:vAlign w:val="center"/>
          </w:tcPr>
          <w:p w14:paraId="2BF0A8FC">
            <w:pPr>
              <w:keepNext/>
              <w:keepLines/>
              <w:pageBreakBefore w:val="0"/>
              <w:widowControl w:val="0"/>
              <w:wordWrap/>
              <w:overflowPunct/>
              <w:topLinePunct w:val="0"/>
              <w:autoSpaceDE/>
              <w:autoSpaceDN/>
              <w:bidi w:val="0"/>
              <w:spacing w:before="0" w:beforeLines="0" w:after="0" w:afterLines="0" w:line="360" w:lineRule="auto"/>
              <w:ind w:left="0" w:leftChars="0" w:firstLine="0" w:firstLineChars="0"/>
              <w:jc w:val="center"/>
              <w:textAlignment w:val="auto"/>
              <w:outlineLvl w:val="2"/>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名称</w:t>
            </w:r>
          </w:p>
        </w:tc>
        <w:tc>
          <w:tcPr>
            <w:tcW w:w="1955" w:type="dxa"/>
            <w:tcBorders>
              <w:right w:val="single" w:color="auto" w:sz="4" w:space="0"/>
            </w:tcBorders>
            <w:noWrap w:val="0"/>
            <w:vAlign w:val="center"/>
          </w:tcPr>
          <w:p w14:paraId="48FA9F25">
            <w:pPr>
              <w:keepNext/>
              <w:keepLines/>
              <w:pageBreakBefore w:val="0"/>
              <w:widowControl w:val="0"/>
              <w:wordWrap/>
              <w:overflowPunct/>
              <w:topLinePunct w:val="0"/>
              <w:autoSpaceDE/>
              <w:autoSpaceDN/>
              <w:bidi w:val="0"/>
              <w:spacing w:before="0" w:beforeLines="0" w:after="0" w:afterLines="0" w:line="360" w:lineRule="auto"/>
              <w:ind w:left="0" w:leftChars="0" w:firstLine="0" w:firstLineChars="0"/>
              <w:jc w:val="center"/>
              <w:textAlignment w:val="auto"/>
              <w:outlineLvl w:val="2"/>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品牌、规格及型号</w:t>
            </w:r>
          </w:p>
        </w:tc>
        <w:tc>
          <w:tcPr>
            <w:tcW w:w="1225" w:type="dxa"/>
            <w:tcBorders>
              <w:left w:val="single" w:color="auto" w:sz="4" w:space="0"/>
            </w:tcBorders>
            <w:noWrap w:val="0"/>
            <w:vAlign w:val="center"/>
          </w:tcPr>
          <w:p w14:paraId="155BE42E">
            <w:pPr>
              <w:keepNext/>
              <w:keepLines/>
              <w:pageBreakBefore w:val="0"/>
              <w:widowControl w:val="0"/>
              <w:wordWrap/>
              <w:overflowPunct/>
              <w:topLinePunct w:val="0"/>
              <w:autoSpaceDE/>
              <w:autoSpaceDN/>
              <w:bidi w:val="0"/>
              <w:spacing w:before="0" w:beforeLines="0" w:after="0" w:afterLines="0" w:line="360" w:lineRule="auto"/>
              <w:ind w:left="0" w:leftChars="0" w:firstLine="0" w:firstLineChars="0"/>
              <w:jc w:val="center"/>
              <w:textAlignment w:val="auto"/>
              <w:outlineLvl w:val="2"/>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原产地及 制造厂名</w:t>
            </w:r>
          </w:p>
        </w:tc>
        <w:tc>
          <w:tcPr>
            <w:tcW w:w="825" w:type="dxa"/>
            <w:tcBorders>
              <w:right w:val="single" w:color="auto" w:sz="4" w:space="0"/>
            </w:tcBorders>
            <w:noWrap w:val="0"/>
            <w:vAlign w:val="center"/>
          </w:tcPr>
          <w:p w14:paraId="73B9C7E6">
            <w:pPr>
              <w:keepNext/>
              <w:keepLines/>
              <w:pageBreakBefore w:val="0"/>
              <w:widowControl w:val="0"/>
              <w:wordWrap/>
              <w:overflowPunct/>
              <w:topLinePunct w:val="0"/>
              <w:autoSpaceDE/>
              <w:autoSpaceDN/>
              <w:bidi w:val="0"/>
              <w:spacing w:before="0" w:beforeLines="0" w:after="0" w:afterLines="0" w:line="360" w:lineRule="auto"/>
              <w:ind w:left="0" w:leftChars="0" w:firstLine="0" w:firstLineChars="0"/>
              <w:jc w:val="center"/>
              <w:textAlignment w:val="auto"/>
              <w:outlineLvl w:val="2"/>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单价</w:t>
            </w:r>
          </w:p>
        </w:tc>
        <w:tc>
          <w:tcPr>
            <w:tcW w:w="735" w:type="dxa"/>
            <w:tcBorders>
              <w:left w:val="single" w:color="auto" w:sz="4" w:space="0"/>
              <w:right w:val="single" w:color="auto" w:sz="4" w:space="0"/>
            </w:tcBorders>
            <w:noWrap w:val="0"/>
            <w:vAlign w:val="center"/>
          </w:tcPr>
          <w:p w14:paraId="34757BA4">
            <w:pPr>
              <w:keepNext/>
              <w:keepLines/>
              <w:pageBreakBefore w:val="0"/>
              <w:widowControl w:val="0"/>
              <w:wordWrap/>
              <w:overflowPunct/>
              <w:topLinePunct w:val="0"/>
              <w:autoSpaceDE/>
              <w:autoSpaceDN/>
              <w:bidi w:val="0"/>
              <w:spacing w:before="0" w:beforeLines="0" w:after="0" w:afterLines="0" w:line="360" w:lineRule="auto"/>
              <w:ind w:left="0" w:leftChars="0" w:firstLine="0" w:firstLineChars="0"/>
              <w:jc w:val="center"/>
              <w:textAlignment w:val="auto"/>
              <w:outlineLvl w:val="2"/>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数量</w:t>
            </w:r>
          </w:p>
        </w:tc>
        <w:tc>
          <w:tcPr>
            <w:tcW w:w="1050" w:type="dxa"/>
            <w:tcBorders>
              <w:left w:val="single" w:color="auto" w:sz="4" w:space="0"/>
            </w:tcBorders>
            <w:noWrap w:val="0"/>
            <w:vAlign w:val="center"/>
          </w:tcPr>
          <w:p w14:paraId="108ACFF8">
            <w:pPr>
              <w:keepNext/>
              <w:keepLines/>
              <w:pageBreakBefore w:val="0"/>
              <w:widowControl w:val="0"/>
              <w:wordWrap/>
              <w:overflowPunct/>
              <w:topLinePunct w:val="0"/>
              <w:autoSpaceDE/>
              <w:autoSpaceDN/>
              <w:bidi w:val="0"/>
              <w:spacing w:before="0" w:beforeLines="0" w:after="0" w:afterLines="0" w:line="360" w:lineRule="auto"/>
              <w:ind w:left="0" w:leftChars="0" w:firstLine="0" w:firstLineChars="0"/>
              <w:jc w:val="center"/>
              <w:textAlignment w:val="auto"/>
              <w:outlineLvl w:val="2"/>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交付地点</w:t>
            </w:r>
          </w:p>
        </w:tc>
        <w:tc>
          <w:tcPr>
            <w:tcW w:w="1215" w:type="dxa"/>
            <w:tcBorders>
              <w:right w:val="single" w:color="auto" w:sz="4" w:space="0"/>
            </w:tcBorders>
            <w:noWrap w:val="0"/>
            <w:vAlign w:val="center"/>
          </w:tcPr>
          <w:p w14:paraId="1BB79CDE">
            <w:pPr>
              <w:keepNext/>
              <w:keepLines/>
              <w:pageBreakBefore w:val="0"/>
              <w:widowControl w:val="0"/>
              <w:wordWrap/>
              <w:overflowPunct/>
              <w:topLinePunct w:val="0"/>
              <w:autoSpaceDE/>
              <w:autoSpaceDN/>
              <w:bidi w:val="0"/>
              <w:spacing w:before="0" w:beforeLines="0" w:after="0" w:afterLines="0" w:line="360" w:lineRule="auto"/>
              <w:ind w:left="0" w:leftChars="0" w:firstLine="0" w:firstLineChars="0"/>
              <w:jc w:val="center"/>
              <w:textAlignment w:val="auto"/>
              <w:outlineLvl w:val="2"/>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交付时间</w:t>
            </w:r>
          </w:p>
        </w:tc>
        <w:tc>
          <w:tcPr>
            <w:tcW w:w="903" w:type="dxa"/>
            <w:tcBorders>
              <w:right w:val="single" w:color="auto" w:sz="4" w:space="0"/>
            </w:tcBorders>
            <w:noWrap w:val="0"/>
            <w:vAlign w:val="center"/>
          </w:tcPr>
          <w:p w14:paraId="7A594599">
            <w:pPr>
              <w:keepNext/>
              <w:keepLines/>
              <w:pageBreakBefore w:val="0"/>
              <w:widowControl w:val="0"/>
              <w:wordWrap/>
              <w:overflowPunct/>
              <w:topLinePunct w:val="0"/>
              <w:autoSpaceDE/>
              <w:autoSpaceDN/>
              <w:bidi w:val="0"/>
              <w:spacing w:before="0" w:beforeLines="0" w:after="0" w:afterLines="0" w:line="360" w:lineRule="auto"/>
              <w:ind w:left="0" w:leftChars="0" w:firstLine="0" w:firstLineChars="0"/>
              <w:jc w:val="center"/>
              <w:textAlignment w:val="auto"/>
              <w:outlineLvl w:val="2"/>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备注</w:t>
            </w:r>
          </w:p>
        </w:tc>
      </w:tr>
      <w:tr w14:paraId="63B6E3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14:paraId="1BF668E1">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kern w:val="2"/>
                <w:sz w:val="24"/>
                <w:szCs w:val="24"/>
                <w:highlight w:val="none"/>
              </w:rPr>
            </w:pPr>
          </w:p>
        </w:tc>
        <w:tc>
          <w:tcPr>
            <w:tcW w:w="960" w:type="dxa"/>
            <w:noWrap w:val="0"/>
            <w:vAlign w:val="top"/>
          </w:tcPr>
          <w:p w14:paraId="1402C0E2">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kern w:val="2"/>
                <w:sz w:val="24"/>
                <w:szCs w:val="24"/>
                <w:highlight w:val="none"/>
              </w:rPr>
            </w:pPr>
          </w:p>
        </w:tc>
        <w:tc>
          <w:tcPr>
            <w:tcW w:w="1955" w:type="dxa"/>
            <w:tcBorders>
              <w:right w:val="single" w:color="auto" w:sz="4" w:space="0"/>
            </w:tcBorders>
            <w:noWrap w:val="0"/>
            <w:vAlign w:val="top"/>
          </w:tcPr>
          <w:p w14:paraId="39152502">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kern w:val="2"/>
                <w:sz w:val="24"/>
                <w:szCs w:val="24"/>
                <w:highlight w:val="none"/>
              </w:rPr>
            </w:pPr>
          </w:p>
        </w:tc>
        <w:tc>
          <w:tcPr>
            <w:tcW w:w="1225" w:type="dxa"/>
            <w:tcBorders>
              <w:left w:val="single" w:color="auto" w:sz="4" w:space="0"/>
            </w:tcBorders>
            <w:noWrap w:val="0"/>
            <w:vAlign w:val="top"/>
          </w:tcPr>
          <w:p w14:paraId="1DE2D9DB">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kern w:val="2"/>
                <w:sz w:val="24"/>
                <w:szCs w:val="24"/>
                <w:highlight w:val="none"/>
              </w:rPr>
            </w:pPr>
          </w:p>
        </w:tc>
        <w:tc>
          <w:tcPr>
            <w:tcW w:w="825" w:type="dxa"/>
            <w:tcBorders>
              <w:right w:val="single" w:color="auto" w:sz="4" w:space="0"/>
            </w:tcBorders>
            <w:noWrap w:val="0"/>
            <w:vAlign w:val="top"/>
          </w:tcPr>
          <w:p w14:paraId="40F71217">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kern w:val="2"/>
                <w:sz w:val="24"/>
                <w:szCs w:val="24"/>
                <w:highlight w:val="none"/>
              </w:rPr>
            </w:pPr>
          </w:p>
        </w:tc>
        <w:tc>
          <w:tcPr>
            <w:tcW w:w="735" w:type="dxa"/>
            <w:tcBorders>
              <w:left w:val="single" w:color="auto" w:sz="4" w:space="0"/>
              <w:right w:val="single" w:color="auto" w:sz="4" w:space="0"/>
            </w:tcBorders>
            <w:noWrap w:val="0"/>
            <w:vAlign w:val="top"/>
          </w:tcPr>
          <w:p w14:paraId="12FAAE0A">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kern w:val="2"/>
                <w:sz w:val="24"/>
                <w:szCs w:val="24"/>
                <w:highlight w:val="none"/>
              </w:rPr>
            </w:pPr>
          </w:p>
        </w:tc>
        <w:tc>
          <w:tcPr>
            <w:tcW w:w="1050" w:type="dxa"/>
            <w:tcBorders>
              <w:left w:val="single" w:color="auto" w:sz="4" w:space="0"/>
            </w:tcBorders>
            <w:noWrap w:val="0"/>
            <w:vAlign w:val="top"/>
          </w:tcPr>
          <w:p w14:paraId="0CC01ECF">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kern w:val="2"/>
                <w:sz w:val="24"/>
                <w:szCs w:val="24"/>
                <w:highlight w:val="none"/>
              </w:rPr>
            </w:pPr>
          </w:p>
        </w:tc>
        <w:tc>
          <w:tcPr>
            <w:tcW w:w="1215" w:type="dxa"/>
            <w:tcBorders>
              <w:right w:val="single" w:color="auto" w:sz="4" w:space="0"/>
            </w:tcBorders>
            <w:noWrap w:val="0"/>
            <w:vAlign w:val="top"/>
          </w:tcPr>
          <w:p w14:paraId="1C085C9B">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kern w:val="2"/>
                <w:sz w:val="24"/>
                <w:szCs w:val="24"/>
                <w:highlight w:val="none"/>
              </w:rPr>
            </w:pPr>
          </w:p>
        </w:tc>
        <w:tc>
          <w:tcPr>
            <w:tcW w:w="903" w:type="dxa"/>
            <w:tcBorders>
              <w:right w:val="single" w:color="auto" w:sz="4" w:space="0"/>
            </w:tcBorders>
            <w:noWrap w:val="0"/>
            <w:vAlign w:val="top"/>
          </w:tcPr>
          <w:p w14:paraId="27336B43">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kern w:val="2"/>
                <w:sz w:val="24"/>
                <w:szCs w:val="24"/>
                <w:highlight w:val="none"/>
              </w:rPr>
            </w:pPr>
          </w:p>
        </w:tc>
      </w:tr>
      <w:tr w14:paraId="75B40D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14:paraId="45D771BF">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kern w:val="2"/>
                <w:sz w:val="24"/>
                <w:szCs w:val="24"/>
                <w:highlight w:val="none"/>
              </w:rPr>
            </w:pPr>
          </w:p>
        </w:tc>
        <w:tc>
          <w:tcPr>
            <w:tcW w:w="960" w:type="dxa"/>
            <w:noWrap w:val="0"/>
            <w:vAlign w:val="top"/>
          </w:tcPr>
          <w:p w14:paraId="1A7D273E">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kern w:val="2"/>
                <w:sz w:val="24"/>
                <w:szCs w:val="24"/>
                <w:highlight w:val="none"/>
              </w:rPr>
            </w:pPr>
          </w:p>
        </w:tc>
        <w:tc>
          <w:tcPr>
            <w:tcW w:w="1955" w:type="dxa"/>
            <w:tcBorders>
              <w:right w:val="single" w:color="auto" w:sz="4" w:space="0"/>
            </w:tcBorders>
            <w:noWrap w:val="0"/>
            <w:vAlign w:val="top"/>
          </w:tcPr>
          <w:p w14:paraId="7009E38E">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kern w:val="2"/>
                <w:sz w:val="24"/>
                <w:szCs w:val="24"/>
                <w:highlight w:val="none"/>
              </w:rPr>
            </w:pPr>
          </w:p>
        </w:tc>
        <w:tc>
          <w:tcPr>
            <w:tcW w:w="1225" w:type="dxa"/>
            <w:tcBorders>
              <w:left w:val="single" w:color="auto" w:sz="4" w:space="0"/>
            </w:tcBorders>
            <w:noWrap w:val="0"/>
            <w:vAlign w:val="top"/>
          </w:tcPr>
          <w:p w14:paraId="0091E614">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kern w:val="2"/>
                <w:sz w:val="24"/>
                <w:szCs w:val="24"/>
                <w:highlight w:val="none"/>
              </w:rPr>
            </w:pPr>
          </w:p>
        </w:tc>
        <w:tc>
          <w:tcPr>
            <w:tcW w:w="825" w:type="dxa"/>
            <w:tcBorders>
              <w:right w:val="single" w:color="auto" w:sz="4" w:space="0"/>
            </w:tcBorders>
            <w:noWrap w:val="0"/>
            <w:vAlign w:val="top"/>
          </w:tcPr>
          <w:p w14:paraId="0B4BA1B0">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kern w:val="2"/>
                <w:sz w:val="24"/>
                <w:szCs w:val="24"/>
                <w:highlight w:val="none"/>
              </w:rPr>
            </w:pPr>
          </w:p>
        </w:tc>
        <w:tc>
          <w:tcPr>
            <w:tcW w:w="735" w:type="dxa"/>
            <w:tcBorders>
              <w:left w:val="single" w:color="auto" w:sz="4" w:space="0"/>
              <w:right w:val="single" w:color="auto" w:sz="4" w:space="0"/>
            </w:tcBorders>
            <w:noWrap w:val="0"/>
            <w:vAlign w:val="top"/>
          </w:tcPr>
          <w:p w14:paraId="0E94FA9D">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kern w:val="2"/>
                <w:sz w:val="24"/>
                <w:szCs w:val="24"/>
                <w:highlight w:val="none"/>
              </w:rPr>
            </w:pPr>
          </w:p>
        </w:tc>
        <w:tc>
          <w:tcPr>
            <w:tcW w:w="1050" w:type="dxa"/>
            <w:tcBorders>
              <w:left w:val="single" w:color="auto" w:sz="4" w:space="0"/>
            </w:tcBorders>
            <w:noWrap w:val="0"/>
            <w:vAlign w:val="top"/>
          </w:tcPr>
          <w:p w14:paraId="7CB06892">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kern w:val="2"/>
                <w:sz w:val="24"/>
                <w:szCs w:val="24"/>
                <w:highlight w:val="none"/>
              </w:rPr>
            </w:pPr>
          </w:p>
        </w:tc>
        <w:tc>
          <w:tcPr>
            <w:tcW w:w="1215" w:type="dxa"/>
            <w:tcBorders>
              <w:right w:val="single" w:color="auto" w:sz="4" w:space="0"/>
            </w:tcBorders>
            <w:noWrap w:val="0"/>
            <w:vAlign w:val="top"/>
          </w:tcPr>
          <w:p w14:paraId="06F576FE">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kern w:val="2"/>
                <w:sz w:val="24"/>
                <w:szCs w:val="24"/>
                <w:highlight w:val="none"/>
              </w:rPr>
            </w:pPr>
          </w:p>
        </w:tc>
        <w:tc>
          <w:tcPr>
            <w:tcW w:w="903" w:type="dxa"/>
            <w:tcBorders>
              <w:right w:val="single" w:color="auto" w:sz="4" w:space="0"/>
            </w:tcBorders>
            <w:noWrap w:val="0"/>
            <w:vAlign w:val="top"/>
          </w:tcPr>
          <w:p w14:paraId="6EC78805">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kern w:val="2"/>
                <w:sz w:val="24"/>
                <w:szCs w:val="24"/>
                <w:highlight w:val="none"/>
              </w:rPr>
            </w:pPr>
          </w:p>
        </w:tc>
      </w:tr>
      <w:tr w14:paraId="7E995E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14:paraId="6CEA6AD9">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kern w:val="2"/>
                <w:sz w:val="24"/>
                <w:szCs w:val="24"/>
                <w:highlight w:val="none"/>
              </w:rPr>
            </w:pPr>
          </w:p>
        </w:tc>
        <w:tc>
          <w:tcPr>
            <w:tcW w:w="960" w:type="dxa"/>
            <w:noWrap w:val="0"/>
            <w:vAlign w:val="top"/>
          </w:tcPr>
          <w:p w14:paraId="7F70F352">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kern w:val="2"/>
                <w:sz w:val="24"/>
                <w:szCs w:val="24"/>
                <w:highlight w:val="none"/>
              </w:rPr>
            </w:pPr>
          </w:p>
        </w:tc>
        <w:tc>
          <w:tcPr>
            <w:tcW w:w="1955" w:type="dxa"/>
            <w:tcBorders>
              <w:right w:val="single" w:color="auto" w:sz="4" w:space="0"/>
            </w:tcBorders>
            <w:noWrap w:val="0"/>
            <w:vAlign w:val="top"/>
          </w:tcPr>
          <w:p w14:paraId="26DD18B1">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kern w:val="2"/>
                <w:sz w:val="24"/>
                <w:szCs w:val="24"/>
                <w:highlight w:val="none"/>
              </w:rPr>
            </w:pPr>
          </w:p>
        </w:tc>
        <w:tc>
          <w:tcPr>
            <w:tcW w:w="1225" w:type="dxa"/>
            <w:tcBorders>
              <w:left w:val="single" w:color="auto" w:sz="4" w:space="0"/>
            </w:tcBorders>
            <w:noWrap w:val="0"/>
            <w:vAlign w:val="top"/>
          </w:tcPr>
          <w:p w14:paraId="4D02FF80">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kern w:val="2"/>
                <w:sz w:val="24"/>
                <w:szCs w:val="24"/>
                <w:highlight w:val="none"/>
              </w:rPr>
            </w:pPr>
          </w:p>
        </w:tc>
        <w:tc>
          <w:tcPr>
            <w:tcW w:w="825" w:type="dxa"/>
            <w:tcBorders>
              <w:right w:val="single" w:color="auto" w:sz="4" w:space="0"/>
            </w:tcBorders>
            <w:noWrap w:val="0"/>
            <w:vAlign w:val="top"/>
          </w:tcPr>
          <w:p w14:paraId="2F4EA708">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kern w:val="2"/>
                <w:sz w:val="24"/>
                <w:szCs w:val="24"/>
                <w:highlight w:val="none"/>
              </w:rPr>
            </w:pPr>
          </w:p>
        </w:tc>
        <w:tc>
          <w:tcPr>
            <w:tcW w:w="735" w:type="dxa"/>
            <w:tcBorders>
              <w:left w:val="single" w:color="auto" w:sz="4" w:space="0"/>
              <w:right w:val="single" w:color="auto" w:sz="4" w:space="0"/>
            </w:tcBorders>
            <w:noWrap w:val="0"/>
            <w:vAlign w:val="top"/>
          </w:tcPr>
          <w:p w14:paraId="504BB5F2">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kern w:val="2"/>
                <w:sz w:val="24"/>
                <w:szCs w:val="24"/>
                <w:highlight w:val="none"/>
              </w:rPr>
            </w:pPr>
          </w:p>
        </w:tc>
        <w:tc>
          <w:tcPr>
            <w:tcW w:w="1050" w:type="dxa"/>
            <w:tcBorders>
              <w:left w:val="single" w:color="auto" w:sz="4" w:space="0"/>
            </w:tcBorders>
            <w:noWrap w:val="0"/>
            <w:vAlign w:val="top"/>
          </w:tcPr>
          <w:p w14:paraId="77C3AC10">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kern w:val="2"/>
                <w:sz w:val="24"/>
                <w:szCs w:val="24"/>
                <w:highlight w:val="none"/>
              </w:rPr>
            </w:pPr>
          </w:p>
        </w:tc>
        <w:tc>
          <w:tcPr>
            <w:tcW w:w="1215" w:type="dxa"/>
            <w:tcBorders>
              <w:right w:val="single" w:color="auto" w:sz="4" w:space="0"/>
            </w:tcBorders>
            <w:noWrap w:val="0"/>
            <w:vAlign w:val="top"/>
          </w:tcPr>
          <w:p w14:paraId="24E93C50">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kern w:val="2"/>
                <w:sz w:val="24"/>
                <w:szCs w:val="24"/>
                <w:highlight w:val="none"/>
              </w:rPr>
            </w:pPr>
          </w:p>
        </w:tc>
        <w:tc>
          <w:tcPr>
            <w:tcW w:w="903" w:type="dxa"/>
            <w:tcBorders>
              <w:right w:val="single" w:color="auto" w:sz="4" w:space="0"/>
            </w:tcBorders>
            <w:noWrap w:val="0"/>
            <w:vAlign w:val="top"/>
          </w:tcPr>
          <w:p w14:paraId="638BFB51">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kern w:val="2"/>
                <w:sz w:val="24"/>
                <w:szCs w:val="24"/>
                <w:highlight w:val="none"/>
              </w:rPr>
            </w:pPr>
          </w:p>
        </w:tc>
      </w:tr>
      <w:tr w14:paraId="64F489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14:paraId="45C8451A">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kern w:val="2"/>
                <w:sz w:val="24"/>
                <w:szCs w:val="24"/>
                <w:highlight w:val="none"/>
              </w:rPr>
            </w:pPr>
          </w:p>
        </w:tc>
        <w:tc>
          <w:tcPr>
            <w:tcW w:w="960" w:type="dxa"/>
            <w:noWrap w:val="0"/>
            <w:vAlign w:val="top"/>
          </w:tcPr>
          <w:p w14:paraId="50A1A547">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kern w:val="2"/>
                <w:sz w:val="24"/>
                <w:szCs w:val="24"/>
                <w:highlight w:val="none"/>
              </w:rPr>
            </w:pPr>
          </w:p>
        </w:tc>
        <w:tc>
          <w:tcPr>
            <w:tcW w:w="1955" w:type="dxa"/>
            <w:tcBorders>
              <w:right w:val="single" w:color="auto" w:sz="4" w:space="0"/>
            </w:tcBorders>
            <w:noWrap w:val="0"/>
            <w:vAlign w:val="top"/>
          </w:tcPr>
          <w:p w14:paraId="15C6BCCB">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kern w:val="2"/>
                <w:sz w:val="24"/>
                <w:szCs w:val="24"/>
                <w:highlight w:val="none"/>
              </w:rPr>
            </w:pPr>
          </w:p>
        </w:tc>
        <w:tc>
          <w:tcPr>
            <w:tcW w:w="1225" w:type="dxa"/>
            <w:tcBorders>
              <w:left w:val="single" w:color="auto" w:sz="4" w:space="0"/>
            </w:tcBorders>
            <w:noWrap w:val="0"/>
            <w:vAlign w:val="top"/>
          </w:tcPr>
          <w:p w14:paraId="76EF533F">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kern w:val="2"/>
                <w:sz w:val="24"/>
                <w:szCs w:val="24"/>
                <w:highlight w:val="none"/>
              </w:rPr>
            </w:pPr>
          </w:p>
        </w:tc>
        <w:tc>
          <w:tcPr>
            <w:tcW w:w="825" w:type="dxa"/>
            <w:tcBorders>
              <w:right w:val="single" w:color="auto" w:sz="4" w:space="0"/>
            </w:tcBorders>
            <w:noWrap w:val="0"/>
            <w:vAlign w:val="top"/>
          </w:tcPr>
          <w:p w14:paraId="17B7AB80">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kern w:val="2"/>
                <w:sz w:val="24"/>
                <w:szCs w:val="24"/>
                <w:highlight w:val="none"/>
              </w:rPr>
            </w:pPr>
          </w:p>
        </w:tc>
        <w:tc>
          <w:tcPr>
            <w:tcW w:w="735" w:type="dxa"/>
            <w:tcBorders>
              <w:left w:val="single" w:color="auto" w:sz="4" w:space="0"/>
              <w:right w:val="single" w:color="auto" w:sz="4" w:space="0"/>
            </w:tcBorders>
            <w:noWrap w:val="0"/>
            <w:vAlign w:val="top"/>
          </w:tcPr>
          <w:p w14:paraId="7F8FEA0A">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kern w:val="2"/>
                <w:sz w:val="24"/>
                <w:szCs w:val="24"/>
                <w:highlight w:val="none"/>
              </w:rPr>
            </w:pPr>
          </w:p>
        </w:tc>
        <w:tc>
          <w:tcPr>
            <w:tcW w:w="1050" w:type="dxa"/>
            <w:tcBorders>
              <w:left w:val="single" w:color="auto" w:sz="4" w:space="0"/>
            </w:tcBorders>
            <w:noWrap w:val="0"/>
            <w:vAlign w:val="top"/>
          </w:tcPr>
          <w:p w14:paraId="003EA9C6">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kern w:val="2"/>
                <w:sz w:val="24"/>
                <w:szCs w:val="24"/>
                <w:highlight w:val="none"/>
              </w:rPr>
            </w:pPr>
          </w:p>
        </w:tc>
        <w:tc>
          <w:tcPr>
            <w:tcW w:w="1215" w:type="dxa"/>
            <w:tcBorders>
              <w:right w:val="single" w:color="auto" w:sz="4" w:space="0"/>
            </w:tcBorders>
            <w:noWrap w:val="0"/>
            <w:vAlign w:val="top"/>
          </w:tcPr>
          <w:p w14:paraId="30A761FD">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kern w:val="2"/>
                <w:sz w:val="24"/>
                <w:szCs w:val="24"/>
                <w:highlight w:val="none"/>
              </w:rPr>
            </w:pPr>
          </w:p>
        </w:tc>
        <w:tc>
          <w:tcPr>
            <w:tcW w:w="903" w:type="dxa"/>
            <w:tcBorders>
              <w:right w:val="single" w:color="auto" w:sz="4" w:space="0"/>
            </w:tcBorders>
            <w:noWrap w:val="0"/>
            <w:vAlign w:val="top"/>
          </w:tcPr>
          <w:p w14:paraId="278D514F">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kern w:val="2"/>
                <w:sz w:val="24"/>
                <w:szCs w:val="24"/>
                <w:highlight w:val="none"/>
              </w:rPr>
            </w:pPr>
          </w:p>
        </w:tc>
      </w:tr>
    </w:tbl>
    <w:p w14:paraId="430E025A">
      <w:pPr>
        <w:pageBreakBefore w:val="0"/>
        <w:widowControl w:val="0"/>
        <w:wordWrap/>
        <w:overflowPunct/>
        <w:topLinePunct w:val="0"/>
        <w:autoSpaceDE/>
        <w:autoSpaceDN/>
        <w:bidi w:val="0"/>
        <w:spacing w:line="360" w:lineRule="auto"/>
        <w:jc w:val="both"/>
        <w:textAlignment w:val="auto"/>
        <w:rPr>
          <w:rFonts w:hint="eastAsia" w:ascii="宋体" w:hAnsi="宋体" w:eastAsia="宋体" w:cs="宋体"/>
          <w:kern w:val="2"/>
          <w:sz w:val="24"/>
          <w:szCs w:val="24"/>
          <w:highlight w:val="none"/>
        </w:rPr>
      </w:pPr>
      <w:r>
        <w:rPr>
          <w:rFonts w:hint="eastAsia" w:ascii="宋体" w:hAnsi="宋体" w:eastAsia="宋体" w:cs="宋体"/>
          <w:b/>
          <w:kern w:val="2"/>
          <w:sz w:val="24"/>
          <w:szCs w:val="24"/>
          <w:highlight w:val="none"/>
        </w:rPr>
        <w:t xml:space="preserve">八、运输、安装、调试要求 </w:t>
      </w:r>
    </w:p>
    <w:p w14:paraId="66FAD9BB">
      <w:pPr>
        <w:pageBreakBefore w:val="0"/>
        <w:widowControl w:val="0"/>
        <w:wordWrap/>
        <w:overflowPunct/>
        <w:topLinePunct w:val="0"/>
        <w:autoSpaceDE/>
        <w:autoSpaceDN/>
        <w:bidi w:val="0"/>
        <w:spacing w:line="360" w:lineRule="auto"/>
        <w:ind w:firstLine="480" w:firstLineChars="200"/>
        <w:jc w:val="both"/>
        <w:textAlignment w:val="auto"/>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lang w:val="en-US" w:eastAsia="zh-CN"/>
        </w:rPr>
        <w:t>1.运输方式由乙方及制造厂商自行选择，运输和装卸等风险由乙方承担</w:t>
      </w:r>
      <w:r>
        <w:rPr>
          <w:rFonts w:hint="eastAsia" w:ascii="宋体" w:hAnsi="宋体" w:eastAsia="宋体" w:cs="宋体"/>
          <w:kern w:val="2"/>
          <w:sz w:val="24"/>
          <w:szCs w:val="24"/>
          <w:highlight w:val="none"/>
        </w:rPr>
        <w:t>。</w:t>
      </w:r>
    </w:p>
    <w:p w14:paraId="14F1BC37">
      <w:pPr>
        <w:pageBreakBefore w:val="0"/>
        <w:widowControl w:val="0"/>
        <w:wordWrap/>
        <w:overflowPunct/>
        <w:topLinePunct w:val="0"/>
        <w:autoSpaceDE/>
        <w:autoSpaceDN/>
        <w:bidi w:val="0"/>
        <w:spacing w:line="360" w:lineRule="auto"/>
        <w:ind w:firstLine="480" w:firstLineChars="200"/>
        <w:jc w:val="both"/>
        <w:textAlignment w:val="auto"/>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4"/>
          <w:highlight w:val="none"/>
          <w:lang w:val="en-US" w:eastAsia="zh-CN"/>
        </w:rPr>
        <w:t>2.</w:t>
      </w:r>
      <w:r>
        <w:rPr>
          <w:rFonts w:hint="eastAsia" w:ascii="宋体" w:hAnsi="宋体" w:eastAsia="宋体" w:cs="宋体"/>
          <w:color w:val="auto"/>
          <w:kern w:val="2"/>
          <w:sz w:val="24"/>
          <w:szCs w:val="24"/>
          <w:highlight w:val="none"/>
          <w:u w:val="none"/>
          <w:lang w:val="en-US" w:eastAsia="zh-CN"/>
        </w:rPr>
        <w:t>自合同签订之日起</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none"/>
          <w:lang w:val="en-US" w:eastAsia="zh-CN"/>
        </w:rPr>
        <w:t>个日历日内</w:t>
      </w:r>
      <w:r>
        <w:rPr>
          <w:rFonts w:hint="eastAsia" w:ascii="宋体" w:hAnsi="宋体" w:eastAsia="宋体" w:cs="宋体"/>
          <w:kern w:val="2"/>
          <w:sz w:val="24"/>
          <w:szCs w:val="24"/>
          <w:highlight w:val="none"/>
          <w:lang w:val="en-US" w:eastAsia="zh-CN"/>
        </w:rPr>
        <w:t>，交货安装，验收合格，并交付使用。</w:t>
      </w:r>
    </w:p>
    <w:p w14:paraId="6BA912C3">
      <w:pPr>
        <w:pageBreakBefore w:val="0"/>
        <w:widowControl w:val="0"/>
        <w:wordWrap/>
        <w:overflowPunct/>
        <w:topLinePunct w:val="0"/>
        <w:autoSpaceDE/>
        <w:autoSpaceDN/>
        <w:bidi w:val="0"/>
        <w:spacing w:line="360" w:lineRule="auto"/>
        <w:ind w:firstLine="480" w:firstLineChars="200"/>
        <w:jc w:val="both"/>
        <w:textAlignment w:val="auto"/>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4"/>
          <w:highlight w:val="none"/>
          <w:lang w:val="en-US" w:eastAsia="zh-CN"/>
        </w:rPr>
        <w:t>3.乙方向甲方交货时应移交每套设备的全套档案资料（包括产品合格证、使用说明书、保修卡、技术资料等），并为用户免费指导和培训设备的操作与维护。</w:t>
      </w:r>
    </w:p>
    <w:p w14:paraId="25CB76FE">
      <w:pPr>
        <w:pageBreakBefore w:val="0"/>
        <w:widowControl w:val="0"/>
        <w:wordWrap/>
        <w:overflowPunct/>
        <w:topLinePunct w:val="0"/>
        <w:autoSpaceDE/>
        <w:autoSpaceDN/>
        <w:bidi w:val="0"/>
        <w:spacing w:line="360" w:lineRule="auto"/>
        <w:ind w:firstLine="480" w:firstLineChars="200"/>
        <w:jc w:val="both"/>
        <w:textAlignment w:val="auto"/>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4"/>
          <w:highlight w:val="none"/>
          <w:lang w:val="en-US" w:eastAsia="zh-CN"/>
        </w:rPr>
        <w:t>4.乙方应积极保持与甲方、最终用户及原厂商的良好沟通，保证合同的正常履行，并承担合同义务的履行责任。</w:t>
      </w:r>
    </w:p>
    <w:p w14:paraId="26030F27">
      <w:pPr>
        <w:pageBreakBefore w:val="0"/>
        <w:widowControl w:val="0"/>
        <w:numPr>
          <w:ilvl w:val="0"/>
          <w:numId w:val="0"/>
        </w:numPr>
        <w:wordWrap/>
        <w:overflowPunct/>
        <w:topLinePunct w:val="0"/>
        <w:autoSpaceDE/>
        <w:autoSpaceDN/>
        <w:bidi w:val="0"/>
        <w:spacing w:line="360" w:lineRule="auto"/>
        <w:jc w:val="both"/>
        <w:textAlignment w:val="auto"/>
        <w:rPr>
          <w:rFonts w:hint="eastAsia" w:ascii="宋体" w:hAnsi="宋体" w:eastAsia="宋体" w:cs="宋体"/>
          <w:b/>
          <w:kern w:val="2"/>
          <w:sz w:val="24"/>
          <w:szCs w:val="24"/>
          <w:highlight w:val="none"/>
          <w:lang w:val="en-US" w:eastAsia="zh-CN"/>
        </w:rPr>
      </w:pPr>
      <w:r>
        <w:rPr>
          <w:rFonts w:hint="eastAsia" w:ascii="宋体" w:hAnsi="宋体" w:eastAsia="宋体" w:cs="宋体"/>
          <w:b/>
          <w:kern w:val="2"/>
          <w:sz w:val="24"/>
          <w:szCs w:val="24"/>
          <w:highlight w:val="none"/>
          <w:lang w:val="en-US" w:eastAsia="zh-CN"/>
        </w:rPr>
        <w:t>九、质保及维保服务</w:t>
      </w:r>
    </w:p>
    <w:p w14:paraId="143363F5">
      <w:pPr>
        <w:pageBreakBefore w:val="0"/>
        <w:widowControl w:val="0"/>
        <w:tabs>
          <w:tab w:val="left" w:pos="840"/>
        </w:tabs>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rPr>
        <w:t>1.乙方</w:t>
      </w:r>
      <w:r>
        <w:rPr>
          <w:rFonts w:hint="eastAsia" w:ascii="宋体" w:hAnsi="宋体" w:eastAsia="宋体" w:cs="宋体"/>
          <w:color w:val="auto"/>
          <w:kern w:val="2"/>
          <w:sz w:val="24"/>
          <w:szCs w:val="24"/>
          <w:highlight w:val="none"/>
        </w:rPr>
        <w:t>应提供可承担维修职能的公司、全资分公司或办事处，并驻守稳定的技术服务小组，提供长期良好的售后服务，随时解答各种疑问，确保本设备</w:t>
      </w:r>
      <w:r>
        <w:rPr>
          <w:rFonts w:hint="eastAsia" w:ascii="宋体" w:hAnsi="宋体" w:eastAsia="宋体" w:cs="宋体"/>
          <w:color w:val="auto"/>
          <w:kern w:val="2"/>
          <w:sz w:val="24"/>
          <w:szCs w:val="24"/>
          <w:highlight w:val="none"/>
          <w:lang w:eastAsia="zh-CN"/>
        </w:rPr>
        <w:t>（</w:t>
      </w:r>
      <w:r>
        <w:rPr>
          <w:rFonts w:hint="eastAsia" w:ascii="宋体" w:hAnsi="宋体" w:eastAsia="宋体" w:cs="宋体"/>
          <w:color w:val="auto"/>
          <w:kern w:val="2"/>
          <w:sz w:val="24"/>
          <w:szCs w:val="24"/>
          <w:highlight w:val="none"/>
          <w:lang w:val="en-US" w:eastAsia="zh-CN"/>
        </w:rPr>
        <w:t>产品</w:t>
      </w:r>
      <w:r>
        <w:rPr>
          <w:rFonts w:hint="eastAsia" w:ascii="宋体" w:hAnsi="宋体" w:eastAsia="宋体" w:cs="宋体"/>
          <w:color w:val="auto"/>
          <w:kern w:val="2"/>
          <w:sz w:val="24"/>
          <w:szCs w:val="24"/>
          <w:highlight w:val="none"/>
          <w:lang w:eastAsia="zh-CN"/>
        </w:rPr>
        <w:t>）</w:t>
      </w:r>
      <w:r>
        <w:rPr>
          <w:rFonts w:hint="eastAsia" w:ascii="宋体" w:hAnsi="宋体" w:eastAsia="宋体" w:cs="宋体"/>
          <w:color w:val="auto"/>
          <w:kern w:val="2"/>
          <w:sz w:val="24"/>
          <w:szCs w:val="24"/>
          <w:highlight w:val="none"/>
        </w:rPr>
        <w:t>正常运行，（提供人员名单、职务、联系电话等）。</w:t>
      </w:r>
    </w:p>
    <w:p w14:paraId="362A5539">
      <w:pPr>
        <w:pageBreakBefore w:val="0"/>
        <w:widowControl w:val="0"/>
        <w:tabs>
          <w:tab w:val="left" w:pos="840"/>
        </w:tabs>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rPr>
        <w:t>2.</w:t>
      </w:r>
      <w:r>
        <w:rPr>
          <w:rFonts w:hint="eastAsia" w:ascii="宋体" w:hAnsi="宋体" w:eastAsia="宋体" w:cs="宋体"/>
          <w:color w:val="auto"/>
          <w:kern w:val="2"/>
          <w:sz w:val="24"/>
          <w:szCs w:val="24"/>
          <w:highlight w:val="none"/>
        </w:rPr>
        <w:t>服务方式</w:t>
      </w:r>
      <w:r>
        <w:rPr>
          <w:rFonts w:hint="eastAsia" w:ascii="宋体" w:hAnsi="宋体" w:eastAsia="宋体" w:cs="宋体"/>
          <w:color w:val="auto"/>
          <w:kern w:val="2"/>
          <w:sz w:val="24"/>
          <w:szCs w:val="24"/>
          <w:highlight w:val="none"/>
          <w:lang w:eastAsia="zh-CN"/>
        </w:rPr>
        <w:t>：</w:t>
      </w:r>
      <w:r>
        <w:rPr>
          <w:rFonts w:hint="eastAsia" w:ascii="宋体" w:hAnsi="宋体" w:eastAsia="宋体" w:cs="宋体"/>
          <w:color w:val="auto"/>
          <w:kern w:val="2"/>
          <w:sz w:val="24"/>
          <w:szCs w:val="24"/>
          <w:highlight w:val="none"/>
        </w:rPr>
        <w:t>现场服务及远程服务。</w:t>
      </w:r>
    </w:p>
    <w:p w14:paraId="0C07445C">
      <w:pPr>
        <w:pageBreakBefore w:val="0"/>
        <w:widowControl w:val="0"/>
        <w:tabs>
          <w:tab w:val="left" w:pos="840"/>
        </w:tabs>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rPr>
        <w:t>3.</w:t>
      </w:r>
      <w:r>
        <w:rPr>
          <w:rFonts w:hint="eastAsia" w:ascii="宋体" w:hAnsi="宋体" w:eastAsia="宋体" w:cs="宋体"/>
          <w:color w:val="auto"/>
          <w:kern w:val="2"/>
          <w:sz w:val="24"/>
          <w:szCs w:val="24"/>
          <w:highlight w:val="none"/>
        </w:rPr>
        <w:t>对于存在质量缺陷问题或者短少的设备，</w:t>
      </w:r>
      <w:r>
        <w:rPr>
          <w:rFonts w:hint="eastAsia" w:ascii="宋体" w:hAnsi="宋体" w:eastAsia="宋体" w:cs="宋体"/>
          <w:color w:val="auto"/>
          <w:kern w:val="2"/>
          <w:sz w:val="24"/>
          <w:szCs w:val="24"/>
          <w:highlight w:val="none"/>
          <w:lang w:val="en-US" w:eastAsia="zh-CN"/>
        </w:rPr>
        <w:t>乙方</w:t>
      </w:r>
      <w:r>
        <w:rPr>
          <w:rFonts w:hint="eastAsia" w:ascii="宋体" w:hAnsi="宋体" w:eastAsia="宋体" w:cs="宋体"/>
          <w:color w:val="auto"/>
          <w:kern w:val="2"/>
          <w:sz w:val="24"/>
          <w:szCs w:val="24"/>
          <w:highlight w:val="none"/>
        </w:rPr>
        <w:t>应在接到</w:t>
      </w:r>
      <w:r>
        <w:rPr>
          <w:rFonts w:hint="eastAsia" w:ascii="宋体" w:hAnsi="宋体" w:eastAsia="宋体" w:cs="宋体"/>
          <w:color w:val="auto"/>
          <w:kern w:val="2"/>
          <w:sz w:val="24"/>
          <w:szCs w:val="24"/>
          <w:highlight w:val="none"/>
          <w:lang w:val="en-US" w:eastAsia="zh-CN"/>
        </w:rPr>
        <w:t>甲方</w:t>
      </w:r>
      <w:r>
        <w:rPr>
          <w:rFonts w:hint="eastAsia" w:ascii="宋体" w:hAnsi="宋体" w:eastAsia="宋体" w:cs="宋体"/>
          <w:color w:val="auto"/>
          <w:kern w:val="2"/>
          <w:sz w:val="24"/>
          <w:szCs w:val="24"/>
          <w:highlight w:val="none"/>
        </w:rPr>
        <w:t>的通知2个日历日内负责更换或补齐，否则</w:t>
      </w:r>
      <w:r>
        <w:rPr>
          <w:rFonts w:hint="eastAsia" w:ascii="宋体" w:hAnsi="宋体" w:eastAsia="宋体" w:cs="宋体"/>
          <w:color w:val="auto"/>
          <w:kern w:val="2"/>
          <w:sz w:val="24"/>
          <w:szCs w:val="24"/>
          <w:highlight w:val="none"/>
          <w:lang w:val="en-US" w:eastAsia="zh-CN"/>
        </w:rPr>
        <w:t>甲方</w:t>
      </w:r>
      <w:r>
        <w:rPr>
          <w:rFonts w:hint="eastAsia" w:ascii="宋体" w:hAnsi="宋体" w:eastAsia="宋体" w:cs="宋体"/>
          <w:color w:val="auto"/>
          <w:kern w:val="2"/>
          <w:sz w:val="24"/>
          <w:szCs w:val="24"/>
          <w:highlight w:val="none"/>
        </w:rPr>
        <w:t>有权予以处罚，不及时进行缺陷处理的甲方有权</w:t>
      </w:r>
      <w:r>
        <w:rPr>
          <w:rFonts w:hint="eastAsia" w:ascii="宋体" w:hAnsi="宋体" w:eastAsia="宋体" w:cs="宋体"/>
          <w:color w:val="auto"/>
          <w:kern w:val="2"/>
          <w:sz w:val="24"/>
          <w:szCs w:val="24"/>
          <w:highlight w:val="none"/>
          <w:lang w:eastAsia="zh-CN"/>
        </w:rPr>
        <w:t>终止</w:t>
      </w:r>
      <w:r>
        <w:rPr>
          <w:rFonts w:hint="eastAsia" w:ascii="宋体" w:hAnsi="宋体" w:eastAsia="宋体" w:cs="宋体"/>
          <w:color w:val="auto"/>
          <w:kern w:val="2"/>
          <w:sz w:val="24"/>
          <w:szCs w:val="24"/>
          <w:highlight w:val="none"/>
        </w:rPr>
        <w:t>合同，</w:t>
      </w:r>
      <w:r>
        <w:rPr>
          <w:rFonts w:hint="eastAsia" w:ascii="宋体" w:hAnsi="宋体" w:eastAsia="宋体" w:cs="宋体"/>
          <w:color w:val="auto"/>
          <w:kern w:val="2"/>
          <w:sz w:val="24"/>
          <w:szCs w:val="24"/>
          <w:highlight w:val="none"/>
          <w:lang w:val="en-US" w:eastAsia="zh-CN"/>
        </w:rPr>
        <w:t>乙方</w:t>
      </w:r>
      <w:r>
        <w:rPr>
          <w:rFonts w:hint="eastAsia" w:ascii="宋体" w:hAnsi="宋体" w:eastAsia="宋体" w:cs="宋体"/>
          <w:color w:val="auto"/>
          <w:kern w:val="2"/>
          <w:sz w:val="24"/>
          <w:szCs w:val="24"/>
          <w:highlight w:val="none"/>
        </w:rPr>
        <w:t>须无条件退回</w:t>
      </w:r>
      <w:r>
        <w:rPr>
          <w:rFonts w:hint="eastAsia" w:ascii="宋体" w:hAnsi="宋体" w:eastAsia="宋体" w:cs="宋体"/>
          <w:color w:val="auto"/>
          <w:kern w:val="2"/>
          <w:sz w:val="24"/>
          <w:szCs w:val="24"/>
          <w:highlight w:val="none"/>
          <w:lang w:val="en-US" w:eastAsia="zh-CN"/>
        </w:rPr>
        <w:t>甲方</w:t>
      </w:r>
      <w:r>
        <w:rPr>
          <w:rFonts w:hint="eastAsia" w:ascii="宋体" w:hAnsi="宋体" w:eastAsia="宋体" w:cs="宋体"/>
          <w:color w:val="auto"/>
          <w:kern w:val="2"/>
          <w:sz w:val="24"/>
          <w:szCs w:val="24"/>
          <w:highlight w:val="none"/>
        </w:rPr>
        <w:t>所付全部款项，并可向</w:t>
      </w:r>
      <w:r>
        <w:rPr>
          <w:rFonts w:hint="eastAsia" w:ascii="宋体" w:hAnsi="宋体" w:eastAsia="宋体" w:cs="宋体"/>
          <w:color w:val="auto"/>
          <w:kern w:val="2"/>
          <w:sz w:val="24"/>
          <w:szCs w:val="24"/>
          <w:highlight w:val="none"/>
          <w:lang w:val="en-US" w:eastAsia="zh-CN"/>
        </w:rPr>
        <w:t>乙方</w:t>
      </w:r>
      <w:r>
        <w:rPr>
          <w:rFonts w:hint="eastAsia" w:ascii="宋体" w:hAnsi="宋体" w:eastAsia="宋体" w:cs="宋体"/>
          <w:color w:val="auto"/>
          <w:kern w:val="2"/>
          <w:sz w:val="24"/>
          <w:szCs w:val="24"/>
          <w:highlight w:val="none"/>
        </w:rPr>
        <w:t>进行索赔，</w:t>
      </w:r>
      <w:r>
        <w:rPr>
          <w:rFonts w:hint="eastAsia" w:ascii="宋体" w:hAnsi="宋体" w:eastAsia="宋体" w:cs="宋体"/>
          <w:color w:val="auto"/>
          <w:kern w:val="2"/>
          <w:sz w:val="24"/>
          <w:szCs w:val="24"/>
          <w:highlight w:val="none"/>
          <w:lang w:val="en-US" w:eastAsia="zh-CN"/>
        </w:rPr>
        <w:t>甲方</w:t>
      </w:r>
      <w:r>
        <w:rPr>
          <w:rFonts w:hint="eastAsia" w:ascii="宋体" w:hAnsi="宋体" w:eastAsia="宋体" w:cs="宋体"/>
          <w:color w:val="auto"/>
          <w:kern w:val="2"/>
          <w:sz w:val="24"/>
          <w:szCs w:val="24"/>
          <w:highlight w:val="none"/>
        </w:rPr>
        <w:t>对已交付安装产品的损耗无须承担任何责任和赔偿。</w:t>
      </w:r>
    </w:p>
    <w:p w14:paraId="3753CF94">
      <w:pPr>
        <w:pageBreakBefore w:val="0"/>
        <w:widowControl w:val="0"/>
        <w:tabs>
          <w:tab w:val="left" w:pos="840"/>
        </w:tabs>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rPr>
        <w:t>4.</w:t>
      </w:r>
      <w:r>
        <w:rPr>
          <w:rFonts w:hint="eastAsia" w:ascii="宋体" w:hAnsi="宋体" w:eastAsia="宋体" w:cs="宋体"/>
          <w:color w:val="auto"/>
          <w:kern w:val="2"/>
          <w:sz w:val="24"/>
          <w:szCs w:val="24"/>
          <w:highlight w:val="none"/>
        </w:rPr>
        <w:t>质量保修期内，</w:t>
      </w:r>
      <w:r>
        <w:rPr>
          <w:rFonts w:hint="eastAsia" w:ascii="宋体" w:hAnsi="宋体" w:eastAsia="宋体" w:cs="宋体"/>
          <w:color w:val="auto"/>
          <w:kern w:val="2"/>
          <w:sz w:val="24"/>
          <w:szCs w:val="24"/>
          <w:highlight w:val="none"/>
          <w:lang w:val="en-US" w:eastAsia="zh-CN"/>
        </w:rPr>
        <w:t>乙方</w:t>
      </w:r>
      <w:r>
        <w:rPr>
          <w:rFonts w:hint="eastAsia" w:ascii="宋体" w:hAnsi="宋体" w:eastAsia="宋体" w:cs="宋体"/>
          <w:color w:val="auto"/>
          <w:kern w:val="2"/>
          <w:sz w:val="24"/>
          <w:szCs w:val="24"/>
          <w:highlight w:val="none"/>
        </w:rPr>
        <w:t>应按照有关管理规定及双方约定承担质量保修责任。</w:t>
      </w:r>
    </w:p>
    <w:p w14:paraId="44254AE2">
      <w:pPr>
        <w:pageBreakBefore w:val="0"/>
        <w:widowControl w:val="0"/>
        <w:tabs>
          <w:tab w:val="left" w:pos="840"/>
        </w:tabs>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rPr>
        <w:t>5.</w:t>
      </w:r>
      <w:r>
        <w:rPr>
          <w:rFonts w:hint="eastAsia" w:ascii="宋体" w:hAnsi="宋体" w:eastAsia="宋体" w:cs="宋体"/>
          <w:color w:val="auto"/>
          <w:kern w:val="2"/>
          <w:sz w:val="24"/>
          <w:szCs w:val="24"/>
          <w:highlight w:val="none"/>
        </w:rPr>
        <w:t>在设备</w:t>
      </w:r>
      <w:r>
        <w:rPr>
          <w:rFonts w:hint="eastAsia" w:ascii="宋体" w:hAnsi="宋体" w:eastAsia="宋体" w:cs="宋体"/>
          <w:color w:val="auto"/>
          <w:kern w:val="2"/>
          <w:sz w:val="24"/>
          <w:szCs w:val="24"/>
          <w:highlight w:val="none"/>
          <w:lang w:eastAsia="zh-CN"/>
        </w:rPr>
        <w:t>（</w:t>
      </w:r>
      <w:r>
        <w:rPr>
          <w:rFonts w:hint="eastAsia" w:ascii="宋体" w:hAnsi="宋体" w:eastAsia="宋体" w:cs="宋体"/>
          <w:color w:val="auto"/>
          <w:kern w:val="2"/>
          <w:sz w:val="24"/>
          <w:szCs w:val="24"/>
          <w:highlight w:val="none"/>
        </w:rPr>
        <w:t>产品</w:t>
      </w:r>
      <w:r>
        <w:rPr>
          <w:rFonts w:hint="eastAsia" w:ascii="宋体" w:hAnsi="宋体" w:eastAsia="宋体" w:cs="宋体"/>
          <w:color w:val="auto"/>
          <w:kern w:val="2"/>
          <w:sz w:val="24"/>
          <w:szCs w:val="24"/>
          <w:highlight w:val="none"/>
          <w:lang w:eastAsia="zh-CN"/>
        </w:rPr>
        <w:t>）</w:t>
      </w:r>
      <w:r>
        <w:rPr>
          <w:rFonts w:hint="eastAsia" w:ascii="宋体" w:hAnsi="宋体" w:eastAsia="宋体" w:cs="宋体"/>
          <w:color w:val="auto"/>
          <w:kern w:val="2"/>
          <w:sz w:val="24"/>
          <w:szCs w:val="24"/>
          <w:highlight w:val="none"/>
        </w:rPr>
        <w:t>最终验收后的质量保证期内，</w:t>
      </w:r>
      <w:r>
        <w:rPr>
          <w:rFonts w:hint="eastAsia" w:ascii="宋体" w:hAnsi="宋体" w:eastAsia="宋体" w:cs="宋体"/>
          <w:color w:val="auto"/>
          <w:kern w:val="2"/>
          <w:sz w:val="24"/>
          <w:szCs w:val="24"/>
          <w:highlight w:val="none"/>
          <w:lang w:val="en-US" w:eastAsia="zh-CN"/>
        </w:rPr>
        <w:t>乙方</w:t>
      </w:r>
      <w:r>
        <w:rPr>
          <w:rFonts w:hint="eastAsia" w:ascii="宋体" w:hAnsi="宋体" w:eastAsia="宋体" w:cs="宋体"/>
          <w:color w:val="auto"/>
          <w:kern w:val="2"/>
          <w:sz w:val="24"/>
          <w:szCs w:val="24"/>
          <w:highlight w:val="none"/>
        </w:rPr>
        <w:t>应对设计、工艺或材料的缺陷而产生的故障负责（负责解决并承担全部费用）。质保期满后如出现此类问题亦应负责。</w:t>
      </w:r>
    </w:p>
    <w:p w14:paraId="0BBD2EBE">
      <w:pPr>
        <w:pageBreakBefore w:val="0"/>
        <w:widowControl w:val="0"/>
        <w:tabs>
          <w:tab w:val="left" w:pos="840"/>
        </w:tabs>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rPr>
        <w:t>6.提供全年7×24小时的技术咨询服务，设备（产品）出现故障时，30分钟内电话响应，1小时内电话解决问题，未解决4小时内到达故障现场解决问题</w:t>
      </w:r>
      <w:r>
        <w:rPr>
          <w:rFonts w:hint="eastAsia" w:ascii="宋体" w:hAnsi="宋体" w:eastAsia="宋体" w:cs="宋体"/>
          <w:color w:val="auto"/>
          <w:kern w:val="2"/>
          <w:sz w:val="24"/>
          <w:szCs w:val="24"/>
          <w:highlight w:val="none"/>
        </w:rPr>
        <w:t>。</w:t>
      </w:r>
    </w:p>
    <w:p w14:paraId="68896ECB">
      <w:pPr>
        <w:pageBreakBefore w:val="0"/>
        <w:widowControl w:val="0"/>
        <w:numPr>
          <w:ilvl w:val="0"/>
          <w:numId w:val="0"/>
        </w:numPr>
        <w:wordWrap/>
        <w:overflowPunct/>
        <w:topLinePunct w:val="0"/>
        <w:autoSpaceDE/>
        <w:autoSpaceDN/>
        <w:bidi w:val="0"/>
        <w:spacing w:line="360" w:lineRule="auto"/>
        <w:jc w:val="both"/>
        <w:textAlignment w:val="auto"/>
        <w:rPr>
          <w:rFonts w:hint="eastAsia" w:ascii="宋体" w:hAnsi="宋体" w:eastAsia="宋体" w:cs="宋体"/>
          <w:b/>
          <w:kern w:val="2"/>
          <w:sz w:val="24"/>
          <w:szCs w:val="24"/>
          <w:highlight w:val="none"/>
          <w:lang w:val="en-US" w:eastAsia="zh-CN"/>
        </w:rPr>
      </w:pPr>
      <w:r>
        <w:rPr>
          <w:rFonts w:hint="eastAsia" w:ascii="宋体" w:hAnsi="宋体" w:eastAsia="宋体" w:cs="宋体"/>
          <w:b/>
          <w:kern w:val="2"/>
          <w:sz w:val="24"/>
          <w:szCs w:val="24"/>
          <w:highlight w:val="none"/>
          <w:lang w:val="en-US" w:eastAsia="zh-CN"/>
        </w:rPr>
        <w:t>十、质量保证及技术培训</w:t>
      </w:r>
    </w:p>
    <w:p w14:paraId="388DA578">
      <w:pPr>
        <w:pageBreakBefore w:val="0"/>
        <w:widowControl w:val="0"/>
        <w:tabs>
          <w:tab w:val="left" w:pos="840"/>
        </w:tabs>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1.乙方提供的设备（产品）及材料必须保证质量可靠，为市场最新或主流设备（产品），进货渠道正常，配置合理齐全，应全面满足招标文件的要求，招标文件未明确要求的内容，须按招标设备（产品）主流标准配置或以甲方的补充要求为准。所供设备（产品）工艺质量应严格按国家最新发布的规范标准执行，如发生质量问题由乙方承担全部责任。</w:t>
      </w:r>
    </w:p>
    <w:p w14:paraId="23DA2E43">
      <w:pPr>
        <w:pageBreakBefore w:val="0"/>
        <w:widowControl w:val="0"/>
        <w:tabs>
          <w:tab w:val="left" w:pos="840"/>
        </w:tabs>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2.乙方承诺提供系统现场培训。乙方应保证提供一到两名资深的培训教师，培训计划应注明每次培训课程的时间、地点及课时；每次课程的内容和目的；提供每次课程的文件和资料；</w:t>
      </w:r>
    </w:p>
    <w:p w14:paraId="3390E37A">
      <w:pPr>
        <w:pageBreakBefore w:val="0"/>
        <w:widowControl w:val="0"/>
        <w:tabs>
          <w:tab w:val="left" w:pos="840"/>
        </w:tabs>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3.培训内容包括系统产品使用培训和高级技术培训。</w:t>
      </w:r>
    </w:p>
    <w:p w14:paraId="5830C10D">
      <w:pPr>
        <w:pageBreakBefore w:val="0"/>
        <w:widowControl w:val="0"/>
        <w:tabs>
          <w:tab w:val="left" w:pos="840"/>
        </w:tabs>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4.产品培训至少包括产品介绍、安装调测、操作及维护方法、系统配置和升级等方面；高级技术培训是指系统分析设计中的思想和方法。乙方承诺接受培训的人员在培训后能够独立地对系统进行操作使用、管理、维护。</w:t>
      </w:r>
    </w:p>
    <w:p w14:paraId="024A8B3C">
      <w:pPr>
        <w:pageBreakBefore w:val="0"/>
        <w:widowControl w:val="0"/>
        <w:tabs>
          <w:tab w:val="left" w:pos="840"/>
        </w:tabs>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5.现场集中培训产生的所有费用由乙方承担。</w:t>
      </w:r>
    </w:p>
    <w:p w14:paraId="124F647F">
      <w:pPr>
        <w:pageBreakBefore w:val="0"/>
        <w:widowControl w:val="0"/>
        <w:numPr>
          <w:ilvl w:val="0"/>
          <w:numId w:val="0"/>
        </w:numPr>
        <w:wordWrap/>
        <w:overflowPunct/>
        <w:topLinePunct w:val="0"/>
        <w:autoSpaceDE/>
        <w:autoSpaceDN/>
        <w:bidi w:val="0"/>
        <w:spacing w:line="360" w:lineRule="auto"/>
        <w:jc w:val="both"/>
        <w:textAlignment w:val="auto"/>
        <w:rPr>
          <w:rFonts w:hint="eastAsia" w:ascii="宋体" w:hAnsi="宋体" w:eastAsia="宋体" w:cs="宋体"/>
          <w:b/>
          <w:kern w:val="2"/>
          <w:sz w:val="24"/>
          <w:szCs w:val="24"/>
          <w:highlight w:val="none"/>
        </w:rPr>
      </w:pPr>
      <w:r>
        <w:rPr>
          <w:rFonts w:hint="eastAsia" w:ascii="宋体" w:hAnsi="宋体" w:eastAsia="宋体" w:cs="宋体"/>
          <w:b/>
          <w:kern w:val="2"/>
          <w:sz w:val="24"/>
          <w:szCs w:val="24"/>
          <w:highlight w:val="none"/>
          <w:lang w:val="en-US" w:eastAsia="zh-CN"/>
        </w:rPr>
        <w:t>十一、</w:t>
      </w:r>
      <w:r>
        <w:rPr>
          <w:rFonts w:hint="eastAsia" w:ascii="宋体" w:hAnsi="宋体" w:eastAsia="宋体" w:cs="宋体"/>
          <w:b/>
          <w:kern w:val="2"/>
          <w:sz w:val="24"/>
          <w:szCs w:val="24"/>
          <w:highlight w:val="none"/>
        </w:rPr>
        <w:t>验收</w:t>
      </w:r>
    </w:p>
    <w:p w14:paraId="226CD3C7">
      <w:pPr>
        <w:pageBreakBefore w:val="0"/>
        <w:widowControl w:val="0"/>
        <w:wordWrap/>
        <w:overflowPunct/>
        <w:topLinePunct w:val="0"/>
        <w:autoSpaceDE/>
        <w:autoSpaceDN/>
        <w:bidi w:val="0"/>
        <w:spacing w:line="360" w:lineRule="auto"/>
        <w:ind w:firstLine="480" w:firstLineChars="200"/>
        <w:jc w:val="both"/>
        <w:textAlignment w:val="auto"/>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lang w:val="en-US" w:eastAsia="zh-CN"/>
        </w:rPr>
        <w:t>1.</w:t>
      </w:r>
      <w:r>
        <w:rPr>
          <w:rFonts w:hint="eastAsia" w:ascii="宋体" w:hAnsi="宋体" w:eastAsia="宋体" w:cs="宋体"/>
          <w:kern w:val="2"/>
          <w:sz w:val="24"/>
          <w:szCs w:val="24"/>
          <w:highlight w:val="none"/>
        </w:rPr>
        <w:t>由</w:t>
      </w:r>
      <w:r>
        <w:rPr>
          <w:rFonts w:hint="eastAsia" w:ascii="宋体" w:hAnsi="宋体" w:eastAsia="宋体" w:cs="宋体"/>
          <w:kern w:val="2"/>
          <w:sz w:val="24"/>
          <w:szCs w:val="24"/>
          <w:highlight w:val="none"/>
          <w:lang w:val="en-US" w:eastAsia="zh-CN"/>
        </w:rPr>
        <w:t>甲方</w:t>
      </w:r>
      <w:r>
        <w:rPr>
          <w:rFonts w:hint="eastAsia" w:ascii="宋体" w:hAnsi="宋体" w:eastAsia="宋体" w:cs="宋体"/>
          <w:kern w:val="2"/>
          <w:sz w:val="24"/>
          <w:szCs w:val="24"/>
          <w:highlight w:val="none"/>
        </w:rPr>
        <w:t>、</w:t>
      </w:r>
      <w:r>
        <w:rPr>
          <w:rFonts w:hint="eastAsia" w:ascii="宋体" w:hAnsi="宋体" w:eastAsia="宋体" w:cs="宋体"/>
          <w:kern w:val="2"/>
          <w:sz w:val="24"/>
          <w:szCs w:val="24"/>
          <w:highlight w:val="none"/>
          <w:lang w:val="en-US" w:eastAsia="zh-CN"/>
        </w:rPr>
        <w:t>乙方</w:t>
      </w:r>
      <w:r>
        <w:rPr>
          <w:rFonts w:hint="eastAsia" w:ascii="宋体" w:hAnsi="宋体" w:eastAsia="宋体" w:cs="宋体"/>
          <w:kern w:val="2"/>
          <w:sz w:val="24"/>
          <w:szCs w:val="24"/>
          <w:highlight w:val="none"/>
        </w:rPr>
        <w:t>共同组织验收，验货合同的标的物方可进行安装、调试。通过验收的应填写政府采购项目验收报告单，并交接全部项目资料。</w:t>
      </w:r>
    </w:p>
    <w:p w14:paraId="04F1937F">
      <w:pPr>
        <w:pageBreakBefore w:val="0"/>
        <w:widowControl w:val="0"/>
        <w:wordWrap/>
        <w:overflowPunct/>
        <w:topLinePunct w:val="0"/>
        <w:autoSpaceDE/>
        <w:autoSpaceDN/>
        <w:bidi w:val="0"/>
        <w:spacing w:line="360" w:lineRule="auto"/>
        <w:ind w:firstLine="480" w:firstLineChars="200"/>
        <w:jc w:val="both"/>
        <w:textAlignment w:val="auto"/>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lang w:val="en-US" w:eastAsia="zh-CN"/>
        </w:rPr>
        <w:t>2.</w:t>
      </w:r>
      <w:r>
        <w:rPr>
          <w:rFonts w:hint="eastAsia" w:ascii="宋体" w:hAnsi="宋体" w:eastAsia="宋体" w:cs="宋体"/>
          <w:kern w:val="2"/>
          <w:sz w:val="24"/>
          <w:szCs w:val="24"/>
          <w:highlight w:val="none"/>
        </w:rPr>
        <w:t>验收时，</w:t>
      </w:r>
      <w:r>
        <w:rPr>
          <w:rFonts w:hint="eastAsia" w:ascii="宋体" w:hAnsi="宋体" w:eastAsia="宋体" w:cs="宋体"/>
          <w:kern w:val="2"/>
          <w:sz w:val="24"/>
          <w:szCs w:val="24"/>
          <w:highlight w:val="none"/>
          <w:lang w:val="en-US" w:eastAsia="zh-CN"/>
        </w:rPr>
        <w:t>甲方</w:t>
      </w:r>
      <w:r>
        <w:rPr>
          <w:rFonts w:hint="eastAsia" w:ascii="宋体" w:hAnsi="宋体" w:eastAsia="宋体" w:cs="宋体"/>
          <w:kern w:val="2"/>
          <w:sz w:val="24"/>
          <w:szCs w:val="24"/>
          <w:highlight w:val="none"/>
        </w:rPr>
        <w:t>有权对标的物按</w:t>
      </w:r>
      <w:r>
        <w:rPr>
          <w:rFonts w:hint="eastAsia" w:ascii="宋体" w:hAnsi="宋体" w:eastAsia="宋体" w:cs="宋体"/>
          <w:kern w:val="2"/>
          <w:sz w:val="24"/>
          <w:szCs w:val="24"/>
          <w:highlight w:val="none"/>
          <w:lang w:val="en-US" w:eastAsia="zh-CN"/>
        </w:rPr>
        <w:t>采购</w:t>
      </w:r>
      <w:r>
        <w:rPr>
          <w:rFonts w:hint="eastAsia" w:ascii="宋体" w:hAnsi="宋体" w:eastAsia="宋体" w:cs="宋体"/>
          <w:kern w:val="2"/>
          <w:sz w:val="24"/>
          <w:szCs w:val="24"/>
          <w:highlight w:val="none"/>
        </w:rPr>
        <w:t>技术参数逐项进行技术验证测试，测试通过作为验收合格的必要条件，验收不通过，</w:t>
      </w:r>
      <w:r>
        <w:rPr>
          <w:rFonts w:hint="eastAsia" w:ascii="宋体" w:hAnsi="宋体" w:eastAsia="宋体" w:cs="宋体"/>
          <w:kern w:val="2"/>
          <w:sz w:val="24"/>
          <w:szCs w:val="24"/>
          <w:highlight w:val="none"/>
          <w:lang w:val="en-US" w:eastAsia="zh-CN"/>
        </w:rPr>
        <w:t>甲方</w:t>
      </w:r>
      <w:r>
        <w:rPr>
          <w:rFonts w:hint="eastAsia" w:ascii="宋体" w:hAnsi="宋体" w:eastAsia="宋体" w:cs="宋体"/>
          <w:kern w:val="2"/>
          <w:sz w:val="24"/>
          <w:szCs w:val="24"/>
          <w:highlight w:val="none"/>
        </w:rPr>
        <w:t>有权拒绝接收货物，</w:t>
      </w:r>
      <w:r>
        <w:rPr>
          <w:rFonts w:hint="eastAsia" w:ascii="宋体" w:hAnsi="宋体" w:eastAsia="宋体" w:cs="宋体"/>
          <w:kern w:val="2"/>
          <w:sz w:val="24"/>
          <w:szCs w:val="24"/>
          <w:highlight w:val="none"/>
          <w:lang w:val="en-US" w:eastAsia="zh-CN"/>
        </w:rPr>
        <w:t>甲方</w:t>
      </w:r>
      <w:r>
        <w:rPr>
          <w:rFonts w:hint="eastAsia" w:ascii="宋体" w:hAnsi="宋体" w:eastAsia="宋体" w:cs="宋体"/>
          <w:kern w:val="2"/>
          <w:sz w:val="24"/>
          <w:szCs w:val="24"/>
          <w:highlight w:val="none"/>
        </w:rPr>
        <w:t>有权对</w:t>
      </w:r>
      <w:r>
        <w:rPr>
          <w:rFonts w:hint="eastAsia" w:ascii="宋体" w:hAnsi="宋体" w:eastAsia="宋体" w:cs="宋体"/>
          <w:kern w:val="2"/>
          <w:sz w:val="24"/>
          <w:szCs w:val="24"/>
          <w:highlight w:val="none"/>
          <w:lang w:val="en-US" w:eastAsia="zh-CN"/>
        </w:rPr>
        <w:t>乙方</w:t>
      </w:r>
      <w:r>
        <w:rPr>
          <w:rFonts w:hint="eastAsia" w:ascii="宋体" w:hAnsi="宋体" w:eastAsia="宋体" w:cs="宋体"/>
          <w:kern w:val="2"/>
          <w:sz w:val="24"/>
          <w:szCs w:val="24"/>
          <w:highlight w:val="none"/>
        </w:rPr>
        <w:t>进行处罚，并终止合同，已支付款项</w:t>
      </w:r>
      <w:r>
        <w:rPr>
          <w:rFonts w:hint="eastAsia" w:ascii="宋体" w:hAnsi="宋体" w:eastAsia="宋体" w:cs="宋体"/>
          <w:kern w:val="2"/>
          <w:sz w:val="24"/>
          <w:szCs w:val="24"/>
          <w:highlight w:val="none"/>
          <w:lang w:val="en-US" w:eastAsia="zh-CN"/>
        </w:rPr>
        <w:t>乙方</w:t>
      </w:r>
      <w:r>
        <w:rPr>
          <w:rFonts w:hint="eastAsia" w:ascii="宋体" w:hAnsi="宋体" w:eastAsia="宋体" w:cs="宋体"/>
          <w:kern w:val="2"/>
          <w:sz w:val="24"/>
          <w:szCs w:val="24"/>
          <w:highlight w:val="none"/>
        </w:rPr>
        <w:t>须全额退还，</w:t>
      </w:r>
      <w:r>
        <w:rPr>
          <w:rFonts w:hint="eastAsia" w:ascii="宋体" w:hAnsi="宋体" w:eastAsia="宋体" w:cs="宋体"/>
          <w:kern w:val="2"/>
          <w:sz w:val="24"/>
          <w:szCs w:val="24"/>
          <w:highlight w:val="none"/>
          <w:lang w:val="en-US" w:eastAsia="zh-CN"/>
        </w:rPr>
        <w:t>甲方</w:t>
      </w:r>
      <w:r>
        <w:rPr>
          <w:rFonts w:hint="eastAsia" w:ascii="宋体" w:hAnsi="宋体" w:eastAsia="宋体" w:cs="宋体"/>
          <w:kern w:val="2"/>
          <w:sz w:val="24"/>
          <w:szCs w:val="24"/>
          <w:highlight w:val="none"/>
        </w:rPr>
        <w:t>并可向供应商进行索赔。</w:t>
      </w:r>
    </w:p>
    <w:p w14:paraId="5E62FA7A">
      <w:pPr>
        <w:pageBreakBefore w:val="0"/>
        <w:widowControl w:val="0"/>
        <w:wordWrap/>
        <w:overflowPunct/>
        <w:topLinePunct w:val="0"/>
        <w:autoSpaceDE/>
        <w:autoSpaceDN/>
        <w:bidi w:val="0"/>
        <w:spacing w:line="360" w:lineRule="auto"/>
        <w:jc w:val="both"/>
        <w:textAlignment w:val="auto"/>
        <w:rPr>
          <w:rFonts w:hint="eastAsia" w:ascii="宋体" w:hAnsi="宋体" w:eastAsia="宋体" w:cs="宋体"/>
          <w:b/>
          <w:kern w:val="2"/>
          <w:sz w:val="24"/>
          <w:szCs w:val="24"/>
          <w:highlight w:val="none"/>
        </w:rPr>
      </w:pPr>
      <w:r>
        <w:rPr>
          <w:rFonts w:hint="eastAsia" w:ascii="宋体" w:hAnsi="宋体" w:eastAsia="宋体" w:cs="宋体"/>
          <w:b/>
          <w:kern w:val="2"/>
          <w:sz w:val="24"/>
          <w:szCs w:val="24"/>
          <w:highlight w:val="none"/>
        </w:rPr>
        <w:t>十</w:t>
      </w:r>
      <w:r>
        <w:rPr>
          <w:rFonts w:hint="eastAsia" w:ascii="宋体" w:hAnsi="宋体" w:eastAsia="宋体" w:cs="宋体"/>
          <w:b/>
          <w:kern w:val="2"/>
          <w:sz w:val="24"/>
          <w:szCs w:val="24"/>
          <w:highlight w:val="none"/>
          <w:lang w:val="en-US" w:eastAsia="zh-CN"/>
        </w:rPr>
        <w:t>一</w:t>
      </w:r>
      <w:r>
        <w:rPr>
          <w:rFonts w:hint="eastAsia" w:ascii="宋体" w:hAnsi="宋体" w:eastAsia="宋体" w:cs="宋体"/>
          <w:b/>
          <w:kern w:val="2"/>
          <w:sz w:val="24"/>
          <w:szCs w:val="24"/>
          <w:highlight w:val="none"/>
        </w:rPr>
        <w:t>、保密</w:t>
      </w:r>
    </w:p>
    <w:p w14:paraId="0477E0F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4"/>
          <w:highlight w:val="none"/>
          <w:lang w:val="en-US" w:eastAsia="zh-CN"/>
        </w:rPr>
        <w:t>对工作中了解到的甲方的技术、机密文件等进行严格保密，不得向他人泄漏。本合同的解除或终止不免除乙方应承担的保密义务。</w:t>
      </w:r>
    </w:p>
    <w:p w14:paraId="3CDC3BC2">
      <w:pPr>
        <w:pageBreakBefore w:val="0"/>
        <w:widowControl w:val="0"/>
        <w:wordWrap/>
        <w:overflowPunct/>
        <w:topLinePunct w:val="0"/>
        <w:autoSpaceDE/>
        <w:autoSpaceDN/>
        <w:bidi w:val="0"/>
        <w:spacing w:line="360" w:lineRule="auto"/>
        <w:jc w:val="both"/>
        <w:textAlignment w:val="auto"/>
        <w:rPr>
          <w:rFonts w:hint="eastAsia" w:ascii="宋体" w:hAnsi="宋体" w:eastAsia="宋体" w:cs="宋体"/>
          <w:b/>
          <w:kern w:val="2"/>
          <w:sz w:val="24"/>
          <w:szCs w:val="24"/>
          <w:highlight w:val="none"/>
        </w:rPr>
      </w:pPr>
      <w:r>
        <w:rPr>
          <w:rFonts w:hint="eastAsia" w:ascii="宋体" w:hAnsi="宋体" w:eastAsia="宋体" w:cs="宋体"/>
          <w:b/>
          <w:kern w:val="2"/>
          <w:sz w:val="24"/>
          <w:szCs w:val="24"/>
          <w:highlight w:val="none"/>
        </w:rPr>
        <w:t>十</w:t>
      </w:r>
      <w:r>
        <w:rPr>
          <w:rFonts w:hint="eastAsia" w:ascii="宋体" w:hAnsi="宋体" w:eastAsia="宋体" w:cs="宋体"/>
          <w:b/>
          <w:kern w:val="2"/>
          <w:sz w:val="24"/>
          <w:szCs w:val="24"/>
          <w:highlight w:val="none"/>
          <w:lang w:val="en-US" w:eastAsia="zh-CN"/>
        </w:rPr>
        <w:t>二</w:t>
      </w:r>
      <w:r>
        <w:rPr>
          <w:rFonts w:hint="eastAsia" w:ascii="宋体" w:hAnsi="宋体" w:eastAsia="宋体" w:cs="宋体"/>
          <w:b/>
          <w:kern w:val="2"/>
          <w:sz w:val="24"/>
          <w:szCs w:val="24"/>
          <w:highlight w:val="none"/>
        </w:rPr>
        <w:t>、知识产权</w:t>
      </w:r>
    </w:p>
    <w:p w14:paraId="113B159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lang w:val="en-US" w:eastAsia="zh-CN"/>
        </w:rPr>
        <w:t>乙方</w:t>
      </w:r>
      <w:r>
        <w:rPr>
          <w:rFonts w:hint="eastAsia" w:ascii="宋体" w:hAnsi="宋体" w:eastAsia="宋体" w:cs="宋体"/>
          <w:kern w:val="2"/>
          <w:sz w:val="24"/>
          <w:szCs w:val="24"/>
          <w:highlight w:val="none"/>
        </w:rPr>
        <w:t>应对所供</w:t>
      </w:r>
      <w:r>
        <w:rPr>
          <w:rFonts w:hint="eastAsia" w:ascii="宋体" w:hAnsi="宋体" w:eastAsia="宋体" w:cs="宋体"/>
          <w:kern w:val="2"/>
          <w:sz w:val="24"/>
          <w:szCs w:val="24"/>
          <w:highlight w:val="none"/>
          <w:lang w:val="en-US" w:eastAsia="zh-CN"/>
        </w:rPr>
        <w:t>设备（</w:t>
      </w:r>
      <w:r>
        <w:rPr>
          <w:rFonts w:hint="eastAsia" w:ascii="宋体" w:hAnsi="宋体" w:eastAsia="宋体" w:cs="宋体"/>
          <w:kern w:val="2"/>
          <w:sz w:val="24"/>
          <w:szCs w:val="24"/>
          <w:highlight w:val="none"/>
        </w:rPr>
        <w:t>产品</w:t>
      </w:r>
      <w:r>
        <w:rPr>
          <w:rFonts w:hint="eastAsia" w:ascii="宋体" w:hAnsi="宋体" w:eastAsia="宋体" w:cs="宋体"/>
          <w:kern w:val="2"/>
          <w:sz w:val="24"/>
          <w:szCs w:val="24"/>
          <w:highlight w:val="none"/>
          <w:lang w:val="en-US" w:eastAsia="zh-CN"/>
        </w:rPr>
        <w:t>）</w:t>
      </w:r>
      <w:r>
        <w:rPr>
          <w:rFonts w:hint="eastAsia" w:ascii="宋体" w:hAnsi="宋体" w:eastAsia="宋体" w:cs="宋体"/>
          <w:kern w:val="2"/>
          <w:sz w:val="24"/>
          <w:szCs w:val="24"/>
          <w:highlight w:val="none"/>
        </w:rPr>
        <w:t>具有或已取得合法知识产权，</w:t>
      </w:r>
      <w:r>
        <w:rPr>
          <w:rFonts w:hint="eastAsia" w:ascii="宋体" w:hAnsi="宋体" w:eastAsia="宋体" w:cs="宋体"/>
          <w:kern w:val="2"/>
          <w:sz w:val="24"/>
          <w:szCs w:val="24"/>
          <w:highlight w:val="none"/>
          <w:lang w:val="en-US" w:eastAsia="zh-CN"/>
        </w:rPr>
        <w:t>乙方</w:t>
      </w:r>
      <w:r>
        <w:rPr>
          <w:rFonts w:hint="eastAsia" w:ascii="宋体" w:hAnsi="宋体" w:eastAsia="宋体" w:cs="宋体"/>
          <w:kern w:val="2"/>
          <w:sz w:val="24"/>
          <w:szCs w:val="24"/>
          <w:highlight w:val="none"/>
        </w:rPr>
        <w:t>应保证所供</w:t>
      </w:r>
      <w:r>
        <w:rPr>
          <w:rFonts w:hint="eastAsia" w:ascii="宋体" w:hAnsi="宋体" w:eastAsia="宋体" w:cs="宋体"/>
          <w:kern w:val="2"/>
          <w:sz w:val="24"/>
          <w:szCs w:val="24"/>
          <w:highlight w:val="none"/>
          <w:lang w:val="en-US" w:eastAsia="zh-CN"/>
        </w:rPr>
        <w:t>设备（</w:t>
      </w:r>
      <w:r>
        <w:rPr>
          <w:rFonts w:hint="eastAsia" w:ascii="宋体" w:hAnsi="宋体" w:eastAsia="宋体" w:cs="宋体"/>
          <w:kern w:val="2"/>
          <w:sz w:val="24"/>
          <w:szCs w:val="24"/>
          <w:highlight w:val="none"/>
        </w:rPr>
        <w:t>产品</w:t>
      </w:r>
      <w:r>
        <w:rPr>
          <w:rFonts w:hint="eastAsia" w:ascii="宋体" w:hAnsi="宋体" w:eastAsia="宋体" w:cs="宋体"/>
          <w:kern w:val="2"/>
          <w:sz w:val="24"/>
          <w:szCs w:val="24"/>
          <w:highlight w:val="none"/>
          <w:lang w:val="en-US" w:eastAsia="zh-CN"/>
        </w:rPr>
        <w:t>）</w:t>
      </w:r>
      <w:r>
        <w:rPr>
          <w:rFonts w:hint="eastAsia" w:ascii="宋体" w:hAnsi="宋体" w:eastAsia="宋体" w:cs="宋体"/>
          <w:kern w:val="2"/>
          <w:sz w:val="24"/>
          <w:szCs w:val="24"/>
          <w:highlight w:val="none"/>
        </w:rPr>
        <w:t>及服务不会出现因第三方提出侵犯其专利权、商标权或其它知识产权而引发法律或经济纠纷，否则由</w:t>
      </w:r>
      <w:r>
        <w:rPr>
          <w:rFonts w:hint="eastAsia" w:ascii="宋体" w:hAnsi="宋体" w:eastAsia="宋体" w:cs="宋体"/>
          <w:kern w:val="2"/>
          <w:sz w:val="24"/>
          <w:szCs w:val="24"/>
          <w:highlight w:val="none"/>
          <w:lang w:val="en-US" w:eastAsia="zh-CN"/>
        </w:rPr>
        <w:t>乙方</w:t>
      </w:r>
      <w:r>
        <w:rPr>
          <w:rFonts w:hint="eastAsia" w:ascii="宋体" w:hAnsi="宋体" w:eastAsia="宋体" w:cs="宋体"/>
          <w:kern w:val="2"/>
          <w:sz w:val="24"/>
          <w:szCs w:val="24"/>
          <w:highlight w:val="none"/>
        </w:rPr>
        <w:t>负责解决并承担全部责任；如因此影响到</w:t>
      </w:r>
      <w:r>
        <w:rPr>
          <w:rFonts w:hint="eastAsia" w:ascii="宋体" w:hAnsi="宋体" w:eastAsia="宋体" w:cs="宋体"/>
          <w:kern w:val="2"/>
          <w:sz w:val="24"/>
          <w:szCs w:val="24"/>
          <w:highlight w:val="none"/>
          <w:lang w:val="en-US" w:eastAsia="zh-CN"/>
        </w:rPr>
        <w:t>甲方</w:t>
      </w:r>
      <w:r>
        <w:rPr>
          <w:rFonts w:hint="eastAsia" w:ascii="宋体" w:hAnsi="宋体" w:eastAsia="宋体" w:cs="宋体"/>
          <w:kern w:val="2"/>
          <w:sz w:val="24"/>
          <w:szCs w:val="24"/>
          <w:highlight w:val="none"/>
        </w:rPr>
        <w:t>的正常使用，</w:t>
      </w:r>
      <w:r>
        <w:rPr>
          <w:rFonts w:hint="eastAsia" w:ascii="宋体" w:hAnsi="宋体" w:eastAsia="宋体" w:cs="宋体"/>
          <w:kern w:val="2"/>
          <w:sz w:val="24"/>
          <w:szCs w:val="24"/>
          <w:highlight w:val="none"/>
          <w:lang w:val="en-US" w:eastAsia="zh-CN"/>
        </w:rPr>
        <w:t>甲方</w:t>
      </w:r>
      <w:r>
        <w:rPr>
          <w:rFonts w:hint="eastAsia" w:ascii="宋体" w:hAnsi="宋体" w:eastAsia="宋体" w:cs="宋体"/>
          <w:kern w:val="2"/>
          <w:sz w:val="24"/>
          <w:szCs w:val="24"/>
          <w:highlight w:val="none"/>
        </w:rPr>
        <w:t>有权单方解除本合同，</w:t>
      </w:r>
      <w:r>
        <w:rPr>
          <w:rFonts w:hint="eastAsia" w:ascii="宋体" w:hAnsi="宋体" w:eastAsia="宋体" w:cs="宋体"/>
          <w:kern w:val="2"/>
          <w:sz w:val="24"/>
          <w:szCs w:val="24"/>
          <w:highlight w:val="none"/>
          <w:lang w:val="en-US" w:eastAsia="zh-CN"/>
        </w:rPr>
        <w:t>乙方</w:t>
      </w:r>
      <w:r>
        <w:rPr>
          <w:rFonts w:hint="eastAsia" w:ascii="宋体" w:hAnsi="宋体" w:eastAsia="宋体" w:cs="宋体"/>
          <w:kern w:val="2"/>
          <w:sz w:val="24"/>
          <w:szCs w:val="24"/>
          <w:highlight w:val="none"/>
        </w:rPr>
        <w:t>应无条件向</w:t>
      </w:r>
      <w:r>
        <w:rPr>
          <w:rFonts w:hint="eastAsia" w:ascii="宋体" w:hAnsi="宋体" w:eastAsia="宋体" w:cs="宋体"/>
          <w:kern w:val="2"/>
          <w:sz w:val="24"/>
          <w:szCs w:val="24"/>
          <w:highlight w:val="none"/>
          <w:lang w:val="en-US" w:eastAsia="zh-CN"/>
        </w:rPr>
        <w:t>甲方</w:t>
      </w:r>
      <w:r>
        <w:rPr>
          <w:rFonts w:hint="eastAsia" w:ascii="宋体" w:hAnsi="宋体" w:eastAsia="宋体" w:cs="宋体"/>
          <w:kern w:val="2"/>
          <w:sz w:val="24"/>
          <w:szCs w:val="24"/>
          <w:highlight w:val="none"/>
        </w:rPr>
        <w:t>退回已收取的全部合同价款，给</w:t>
      </w:r>
      <w:r>
        <w:rPr>
          <w:rFonts w:hint="eastAsia" w:ascii="宋体" w:hAnsi="宋体" w:eastAsia="宋体" w:cs="宋体"/>
          <w:kern w:val="2"/>
          <w:sz w:val="24"/>
          <w:szCs w:val="24"/>
          <w:highlight w:val="none"/>
          <w:lang w:val="en-US" w:eastAsia="zh-CN"/>
        </w:rPr>
        <w:t>甲方</w:t>
      </w:r>
      <w:r>
        <w:rPr>
          <w:rFonts w:hint="eastAsia" w:ascii="宋体" w:hAnsi="宋体" w:eastAsia="宋体" w:cs="宋体"/>
          <w:kern w:val="2"/>
          <w:sz w:val="24"/>
          <w:szCs w:val="24"/>
          <w:highlight w:val="none"/>
        </w:rPr>
        <w:t>造成损失的，由</w:t>
      </w:r>
      <w:r>
        <w:rPr>
          <w:rFonts w:hint="eastAsia" w:ascii="宋体" w:hAnsi="宋体" w:eastAsia="宋体" w:cs="宋体"/>
          <w:kern w:val="2"/>
          <w:sz w:val="24"/>
          <w:szCs w:val="24"/>
          <w:highlight w:val="none"/>
          <w:lang w:val="en-US" w:eastAsia="zh-CN"/>
        </w:rPr>
        <w:t>乙方</w:t>
      </w:r>
      <w:r>
        <w:rPr>
          <w:rFonts w:hint="eastAsia" w:ascii="宋体" w:hAnsi="宋体" w:eastAsia="宋体" w:cs="宋体"/>
          <w:kern w:val="2"/>
          <w:sz w:val="24"/>
          <w:szCs w:val="24"/>
          <w:highlight w:val="none"/>
        </w:rPr>
        <w:t>一并赔偿。</w:t>
      </w:r>
    </w:p>
    <w:p w14:paraId="77AAA7B8">
      <w:pPr>
        <w:pageBreakBefore w:val="0"/>
        <w:widowControl w:val="0"/>
        <w:wordWrap/>
        <w:overflowPunct/>
        <w:topLinePunct w:val="0"/>
        <w:autoSpaceDE/>
        <w:autoSpaceDN/>
        <w:bidi w:val="0"/>
        <w:spacing w:line="360" w:lineRule="auto"/>
        <w:jc w:val="both"/>
        <w:textAlignment w:val="auto"/>
        <w:rPr>
          <w:rFonts w:hint="eastAsia" w:ascii="宋体" w:hAnsi="宋体" w:eastAsia="宋体" w:cs="宋体"/>
          <w:b/>
          <w:kern w:val="2"/>
          <w:sz w:val="24"/>
          <w:szCs w:val="24"/>
          <w:highlight w:val="none"/>
        </w:rPr>
      </w:pPr>
      <w:r>
        <w:rPr>
          <w:rFonts w:hint="eastAsia" w:ascii="宋体" w:hAnsi="宋体" w:eastAsia="宋体" w:cs="宋体"/>
          <w:b/>
          <w:kern w:val="2"/>
          <w:sz w:val="24"/>
          <w:szCs w:val="24"/>
          <w:highlight w:val="none"/>
        </w:rPr>
        <w:t>十</w:t>
      </w:r>
      <w:r>
        <w:rPr>
          <w:rFonts w:hint="eastAsia" w:ascii="宋体" w:hAnsi="宋体" w:eastAsia="宋体" w:cs="宋体"/>
          <w:b/>
          <w:kern w:val="2"/>
          <w:sz w:val="24"/>
          <w:szCs w:val="24"/>
          <w:highlight w:val="none"/>
          <w:lang w:val="en-US" w:eastAsia="zh-CN"/>
        </w:rPr>
        <w:t>三</w:t>
      </w:r>
      <w:r>
        <w:rPr>
          <w:rFonts w:hint="eastAsia" w:ascii="宋体" w:hAnsi="宋体" w:eastAsia="宋体" w:cs="宋体"/>
          <w:b/>
          <w:kern w:val="2"/>
          <w:sz w:val="24"/>
          <w:szCs w:val="24"/>
          <w:highlight w:val="none"/>
        </w:rPr>
        <w:t>、合同争议的解决</w:t>
      </w:r>
    </w:p>
    <w:p w14:paraId="347623F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合同执行中发生争议的，当事人双方应协商解决。协商达不成一致时，可向</w:t>
      </w:r>
      <w:r>
        <w:rPr>
          <w:rFonts w:hint="eastAsia" w:ascii="宋体" w:hAnsi="宋体" w:eastAsia="宋体" w:cs="宋体"/>
          <w:kern w:val="2"/>
          <w:sz w:val="24"/>
          <w:szCs w:val="24"/>
          <w:highlight w:val="none"/>
          <w:lang w:val="en-US" w:eastAsia="zh-CN"/>
        </w:rPr>
        <w:t>甲方</w:t>
      </w:r>
      <w:r>
        <w:rPr>
          <w:rFonts w:hint="eastAsia" w:ascii="宋体" w:hAnsi="宋体" w:eastAsia="宋体" w:cs="宋体"/>
          <w:kern w:val="2"/>
          <w:sz w:val="24"/>
          <w:szCs w:val="24"/>
          <w:highlight w:val="none"/>
        </w:rPr>
        <w:t>当地行政仲裁机关申请仲裁或者向人民法院提请诉讼。</w:t>
      </w:r>
    </w:p>
    <w:p w14:paraId="2B2A0211">
      <w:pPr>
        <w:pageBreakBefore w:val="0"/>
        <w:widowControl w:val="0"/>
        <w:numPr>
          <w:ilvl w:val="0"/>
          <w:numId w:val="0"/>
        </w:numPr>
        <w:wordWrap/>
        <w:overflowPunct/>
        <w:topLinePunct w:val="0"/>
        <w:autoSpaceDE/>
        <w:autoSpaceDN/>
        <w:bidi w:val="0"/>
        <w:spacing w:line="360" w:lineRule="auto"/>
        <w:jc w:val="left"/>
        <w:textAlignment w:val="auto"/>
        <w:rPr>
          <w:rFonts w:hint="eastAsia" w:ascii="宋体" w:hAnsi="宋体" w:eastAsia="宋体" w:cs="宋体"/>
          <w:b/>
          <w:bCs/>
          <w:kern w:val="2"/>
          <w:sz w:val="24"/>
          <w:szCs w:val="24"/>
          <w:highlight w:val="none"/>
        </w:rPr>
      </w:pPr>
      <w:r>
        <w:rPr>
          <w:rFonts w:hint="eastAsia" w:ascii="宋体" w:hAnsi="宋体" w:eastAsia="宋体" w:cs="宋体"/>
          <w:b/>
          <w:bCs/>
          <w:kern w:val="2"/>
          <w:sz w:val="24"/>
          <w:szCs w:val="24"/>
          <w:highlight w:val="none"/>
          <w:lang w:val="en-US" w:eastAsia="zh-CN"/>
        </w:rPr>
        <w:t>十四、</w:t>
      </w:r>
      <w:r>
        <w:rPr>
          <w:rFonts w:hint="eastAsia" w:ascii="宋体" w:hAnsi="宋体" w:eastAsia="宋体" w:cs="宋体"/>
          <w:b/>
          <w:bCs/>
          <w:kern w:val="2"/>
          <w:sz w:val="24"/>
          <w:szCs w:val="24"/>
          <w:highlight w:val="none"/>
        </w:rPr>
        <w:t>不可抗力情况下的免责约定</w:t>
      </w:r>
    </w:p>
    <w:p w14:paraId="36A4C3BC">
      <w:pPr>
        <w:pageBreakBefore w:val="0"/>
        <w:widowControl w:val="0"/>
        <w:wordWrap/>
        <w:overflowPunct/>
        <w:topLinePunct w:val="0"/>
        <w:autoSpaceDE/>
        <w:autoSpaceDN/>
        <w:bidi w:val="0"/>
        <w:spacing w:line="360" w:lineRule="auto"/>
        <w:ind w:firstLine="480" w:firstLineChars="200"/>
        <w:jc w:val="left"/>
        <w:textAlignment w:val="auto"/>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双</w:t>
      </w:r>
      <w:r>
        <w:rPr>
          <w:rFonts w:hint="eastAsia" w:ascii="宋体" w:hAnsi="宋体" w:eastAsia="宋体" w:cs="宋体"/>
          <w:kern w:val="2"/>
          <w:sz w:val="24"/>
          <w:szCs w:val="24"/>
          <w:highlight w:val="none"/>
          <w:lang w:val="en-US" w:eastAsia="zh-CN"/>
        </w:rPr>
        <w:t>方约定不可抗力情况指：双方不可预见、不可避免、不可克服的客观情况，但不包括双方的违约或疏忽。这些事件包括但不限于：战争、严重火灾、洪水、台风、地震等。</w:t>
      </w:r>
    </w:p>
    <w:p w14:paraId="6ECAE51F">
      <w:pPr>
        <w:pageBreakBefore w:val="0"/>
        <w:widowControl w:val="0"/>
        <w:numPr>
          <w:ilvl w:val="0"/>
          <w:numId w:val="0"/>
        </w:numPr>
        <w:wordWrap/>
        <w:overflowPunct/>
        <w:topLinePunct w:val="0"/>
        <w:autoSpaceDE/>
        <w:autoSpaceDN/>
        <w:bidi w:val="0"/>
        <w:spacing w:line="360" w:lineRule="auto"/>
        <w:jc w:val="both"/>
        <w:textAlignment w:val="auto"/>
        <w:rPr>
          <w:rFonts w:hint="eastAsia" w:ascii="宋体" w:hAnsi="宋体" w:eastAsia="宋体" w:cs="宋体"/>
          <w:b/>
          <w:kern w:val="2"/>
          <w:sz w:val="24"/>
          <w:szCs w:val="24"/>
          <w:highlight w:val="none"/>
        </w:rPr>
      </w:pPr>
      <w:r>
        <w:rPr>
          <w:rFonts w:hint="eastAsia" w:ascii="宋体" w:hAnsi="宋体" w:eastAsia="宋体" w:cs="宋体"/>
          <w:b/>
          <w:kern w:val="2"/>
          <w:sz w:val="24"/>
          <w:szCs w:val="24"/>
          <w:highlight w:val="none"/>
          <w:lang w:val="en-US" w:eastAsia="zh-CN"/>
        </w:rPr>
        <w:t>十五、</w:t>
      </w:r>
      <w:r>
        <w:rPr>
          <w:rFonts w:hint="eastAsia" w:ascii="宋体" w:hAnsi="宋体" w:eastAsia="宋体" w:cs="宋体"/>
          <w:b/>
          <w:kern w:val="2"/>
          <w:sz w:val="24"/>
          <w:szCs w:val="24"/>
          <w:highlight w:val="none"/>
        </w:rPr>
        <w:t>违约责任</w:t>
      </w:r>
    </w:p>
    <w:p w14:paraId="61FDC45A">
      <w:pPr>
        <w:pageBreakBefore w:val="0"/>
        <w:widowControl w:val="0"/>
        <w:wordWrap/>
        <w:overflowPunct/>
        <w:topLinePunct w:val="0"/>
        <w:autoSpaceDE/>
        <w:autoSpaceDN/>
        <w:bidi w:val="0"/>
        <w:spacing w:line="360" w:lineRule="auto"/>
        <w:ind w:firstLine="480" w:firstLineChars="200"/>
        <w:jc w:val="both"/>
        <w:textAlignment w:val="auto"/>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依据《中华人民共和国</w:t>
      </w:r>
      <w:r>
        <w:rPr>
          <w:rFonts w:hint="eastAsia" w:ascii="宋体" w:hAnsi="宋体" w:eastAsia="宋体" w:cs="宋体"/>
          <w:kern w:val="2"/>
          <w:sz w:val="24"/>
          <w:szCs w:val="24"/>
          <w:highlight w:val="none"/>
          <w:lang w:val="en-US" w:eastAsia="zh-CN"/>
        </w:rPr>
        <w:t>民法典</w:t>
      </w:r>
      <w:r>
        <w:rPr>
          <w:rFonts w:hint="eastAsia" w:ascii="宋体" w:hAnsi="宋体" w:eastAsia="宋体" w:cs="宋体"/>
          <w:kern w:val="2"/>
          <w:sz w:val="24"/>
          <w:szCs w:val="24"/>
          <w:highlight w:val="none"/>
        </w:rPr>
        <w:t>》、《中华人民共和国政府采购法》、《中华人民共和国政府采购法实施条例》的相关条款和本合同约定，</w:t>
      </w:r>
      <w:r>
        <w:rPr>
          <w:rFonts w:hint="eastAsia" w:ascii="宋体" w:hAnsi="宋体" w:eastAsia="宋体" w:cs="宋体"/>
          <w:kern w:val="2"/>
          <w:sz w:val="24"/>
          <w:szCs w:val="24"/>
          <w:highlight w:val="none"/>
          <w:lang w:val="en-US" w:eastAsia="zh-CN"/>
        </w:rPr>
        <w:t>乙方</w:t>
      </w:r>
      <w:r>
        <w:rPr>
          <w:rFonts w:hint="eastAsia" w:ascii="宋体" w:hAnsi="宋体" w:eastAsia="宋体" w:cs="宋体"/>
          <w:kern w:val="2"/>
          <w:sz w:val="24"/>
          <w:szCs w:val="24"/>
          <w:highlight w:val="none"/>
        </w:rPr>
        <w:t>未全面履行合同义务或者发生违约，</w:t>
      </w:r>
      <w:r>
        <w:rPr>
          <w:rFonts w:hint="eastAsia" w:ascii="宋体" w:hAnsi="宋体" w:eastAsia="宋体" w:cs="宋体"/>
          <w:kern w:val="2"/>
          <w:sz w:val="24"/>
          <w:szCs w:val="24"/>
          <w:highlight w:val="none"/>
          <w:lang w:val="en-US" w:eastAsia="zh-CN"/>
        </w:rPr>
        <w:t>甲方</w:t>
      </w:r>
      <w:r>
        <w:rPr>
          <w:rFonts w:hint="eastAsia" w:ascii="宋体" w:hAnsi="宋体" w:eastAsia="宋体" w:cs="宋体"/>
          <w:kern w:val="2"/>
          <w:sz w:val="24"/>
          <w:szCs w:val="24"/>
          <w:highlight w:val="none"/>
        </w:rPr>
        <w:t>会同采购代理机构有权终止合同，依法向</w:t>
      </w:r>
      <w:r>
        <w:rPr>
          <w:rFonts w:hint="eastAsia" w:ascii="宋体" w:hAnsi="宋体" w:eastAsia="宋体" w:cs="宋体"/>
          <w:kern w:val="2"/>
          <w:sz w:val="24"/>
          <w:szCs w:val="24"/>
          <w:highlight w:val="none"/>
          <w:lang w:val="en-US" w:eastAsia="zh-CN"/>
        </w:rPr>
        <w:t>乙方</w:t>
      </w:r>
      <w:r>
        <w:rPr>
          <w:rFonts w:hint="eastAsia" w:ascii="宋体" w:hAnsi="宋体" w:eastAsia="宋体" w:cs="宋体"/>
          <w:kern w:val="2"/>
          <w:sz w:val="24"/>
          <w:szCs w:val="24"/>
          <w:highlight w:val="none"/>
        </w:rPr>
        <w:t>进行经济索赔，并报请政府采购监督管理机关进行相应的行政处罚。</w:t>
      </w:r>
      <w:r>
        <w:rPr>
          <w:rFonts w:hint="eastAsia" w:ascii="宋体" w:hAnsi="宋体" w:eastAsia="宋体" w:cs="宋体"/>
          <w:kern w:val="2"/>
          <w:sz w:val="24"/>
          <w:szCs w:val="24"/>
          <w:highlight w:val="none"/>
          <w:lang w:val="en-US" w:eastAsia="zh-CN"/>
        </w:rPr>
        <w:t>甲方</w:t>
      </w:r>
      <w:r>
        <w:rPr>
          <w:rFonts w:hint="eastAsia" w:ascii="宋体" w:hAnsi="宋体" w:eastAsia="宋体" w:cs="宋体"/>
          <w:kern w:val="2"/>
          <w:sz w:val="24"/>
          <w:szCs w:val="24"/>
          <w:highlight w:val="none"/>
        </w:rPr>
        <w:t>违约的，应当赔偿给</w:t>
      </w:r>
      <w:r>
        <w:rPr>
          <w:rFonts w:hint="eastAsia" w:ascii="宋体" w:hAnsi="宋体" w:eastAsia="宋体" w:cs="宋体"/>
          <w:kern w:val="2"/>
          <w:sz w:val="24"/>
          <w:szCs w:val="24"/>
          <w:highlight w:val="none"/>
          <w:lang w:val="en-US" w:eastAsia="zh-CN"/>
        </w:rPr>
        <w:t>乙方</w:t>
      </w:r>
      <w:r>
        <w:rPr>
          <w:rFonts w:hint="eastAsia" w:ascii="宋体" w:hAnsi="宋体" w:eastAsia="宋体" w:cs="宋体"/>
          <w:kern w:val="2"/>
          <w:sz w:val="24"/>
          <w:szCs w:val="24"/>
          <w:highlight w:val="none"/>
        </w:rPr>
        <w:t>造成的经济损失。</w:t>
      </w:r>
    </w:p>
    <w:p w14:paraId="338F039C">
      <w:pPr>
        <w:pageBreakBefore w:val="0"/>
        <w:widowControl w:val="0"/>
        <w:wordWrap/>
        <w:overflowPunct/>
        <w:topLinePunct w:val="0"/>
        <w:autoSpaceDE/>
        <w:autoSpaceDN/>
        <w:bidi w:val="0"/>
        <w:spacing w:line="360" w:lineRule="auto"/>
        <w:jc w:val="both"/>
        <w:textAlignment w:val="auto"/>
        <w:rPr>
          <w:rFonts w:hint="eastAsia" w:ascii="宋体" w:hAnsi="宋体" w:eastAsia="宋体" w:cs="宋体"/>
          <w:kern w:val="2"/>
          <w:sz w:val="24"/>
          <w:szCs w:val="24"/>
          <w:highlight w:val="none"/>
        </w:rPr>
      </w:pPr>
      <w:r>
        <w:rPr>
          <w:rFonts w:hint="eastAsia" w:ascii="宋体" w:hAnsi="宋体" w:eastAsia="宋体" w:cs="宋体"/>
          <w:b/>
          <w:kern w:val="2"/>
          <w:sz w:val="24"/>
          <w:szCs w:val="24"/>
          <w:highlight w:val="none"/>
        </w:rPr>
        <w:t>十</w:t>
      </w:r>
      <w:r>
        <w:rPr>
          <w:rFonts w:hint="eastAsia" w:ascii="宋体" w:hAnsi="宋体" w:eastAsia="宋体" w:cs="宋体"/>
          <w:b/>
          <w:kern w:val="2"/>
          <w:sz w:val="24"/>
          <w:szCs w:val="24"/>
          <w:highlight w:val="none"/>
          <w:lang w:val="en-US" w:eastAsia="zh-CN"/>
        </w:rPr>
        <w:t>六</w:t>
      </w:r>
      <w:r>
        <w:rPr>
          <w:rFonts w:hint="eastAsia" w:ascii="宋体" w:hAnsi="宋体" w:eastAsia="宋体" w:cs="宋体"/>
          <w:b/>
          <w:kern w:val="2"/>
          <w:sz w:val="24"/>
          <w:szCs w:val="24"/>
          <w:highlight w:val="none"/>
        </w:rPr>
        <w:t>、其他（</w:t>
      </w:r>
      <w:r>
        <w:rPr>
          <w:rFonts w:hint="eastAsia" w:ascii="宋体" w:hAnsi="宋体" w:eastAsia="宋体" w:cs="宋体"/>
          <w:kern w:val="2"/>
          <w:sz w:val="24"/>
          <w:szCs w:val="24"/>
          <w:highlight w:val="none"/>
        </w:rPr>
        <w:t>在合同中具体明确）</w:t>
      </w:r>
    </w:p>
    <w:p w14:paraId="73559CDA">
      <w:pPr>
        <w:pageBreakBefore w:val="0"/>
        <w:widowControl w:val="0"/>
        <w:wordWrap/>
        <w:overflowPunct/>
        <w:topLinePunct w:val="0"/>
        <w:autoSpaceDE/>
        <w:autoSpaceDN/>
        <w:bidi w:val="0"/>
        <w:spacing w:line="360" w:lineRule="auto"/>
        <w:jc w:val="both"/>
        <w:textAlignment w:val="auto"/>
        <w:rPr>
          <w:rFonts w:hint="eastAsia" w:ascii="宋体" w:hAnsi="宋体" w:eastAsia="宋体" w:cs="宋体"/>
          <w:b/>
          <w:kern w:val="2"/>
          <w:sz w:val="24"/>
          <w:szCs w:val="24"/>
          <w:highlight w:val="none"/>
        </w:rPr>
      </w:pPr>
      <w:r>
        <w:rPr>
          <w:rFonts w:hint="eastAsia" w:ascii="宋体" w:hAnsi="宋体" w:eastAsia="宋体" w:cs="宋体"/>
          <w:b/>
          <w:kern w:val="2"/>
          <w:sz w:val="24"/>
          <w:szCs w:val="24"/>
          <w:highlight w:val="none"/>
          <w:lang w:val="en-US" w:eastAsia="zh-CN"/>
        </w:rPr>
        <w:t>十七</w:t>
      </w:r>
      <w:r>
        <w:rPr>
          <w:rFonts w:hint="eastAsia" w:ascii="宋体" w:hAnsi="宋体" w:eastAsia="宋体" w:cs="宋体"/>
          <w:b/>
          <w:kern w:val="2"/>
          <w:sz w:val="24"/>
          <w:szCs w:val="24"/>
          <w:highlight w:val="none"/>
        </w:rPr>
        <w:t>、合同订立</w:t>
      </w:r>
    </w:p>
    <w:p w14:paraId="46586004">
      <w:pPr>
        <w:pageBreakBefore w:val="0"/>
        <w:widowControl w:val="0"/>
        <w:wordWrap/>
        <w:overflowPunct/>
        <w:topLinePunct w:val="0"/>
        <w:autoSpaceDE/>
        <w:autoSpaceDN/>
        <w:bidi w:val="0"/>
        <w:adjustRightInd w:val="0"/>
        <w:snapToGrid w:val="0"/>
        <w:spacing w:line="360" w:lineRule="auto"/>
        <w:ind w:firstLine="475" w:firstLineChars="198"/>
        <w:jc w:val="both"/>
        <w:textAlignment w:val="auto"/>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1.订立时间：</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年</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月</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日。</w:t>
      </w:r>
    </w:p>
    <w:p w14:paraId="12F0E931">
      <w:pPr>
        <w:pageBreakBefore w:val="0"/>
        <w:widowControl w:val="0"/>
        <w:wordWrap/>
        <w:overflowPunct/>
        <w:topLinePunct w:val="0"/>
        <w:autoSpaceDE/>
        <w:autoSpaceDN/>
        <w:bidi w:val="0"/>
        <w:adjustRightInd w:val="0"/>
        <w:snapToGrid w:val="0"/>
        <w:spacing w:line="360" w:lineRule="auto"/>
        <w:ind w:firstLine="475" w:firstLineChars="198"/>
        <w:jc w:val="both"/>
        <w:textAlignment w:val="auto"/>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2.订立地点：</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w:t>
      </w:r>
    </w:p>
    <w:p w14:paraId="5AE5871B">
      <w:pPr>
        <w:pageBreakBefore w:val="0"/>
        <w:widowControl w:val="0"/>
        <w:wordWrap/>
        <w:overflowPunct/>
        <w:topLinePunct w:val="0"/>
        <w:autoSpaceDE/>
        <w:autoSpaceDN/>
        <w:bidi w:val="0"/>
        <w:spacing w:line="360" w:lineRule="auto"/>
        <w:ind w:firstLine="480" w:firstLineChars="200"/>
        <w:jc w:val="both"/>
        <w:textAlignment w:val="auto"/>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3.本合同一式</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份，具有同等法律效力，双方各执</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份，</w:t>
      </w:r>
      <w:r>
        <w:rPr>
          <w:rFonts w:hint="eastAsia" w:ascii="宋体" w:hAnsi="宋体" w:eastAsia="宋体" w:cs="宋体"/>
          <w:kern w:val="2"/>
          <w:sz w:val="24"/>
          <w:szCs w:val="24"/>
          <w:highlight w:val="none"/>
          <w:lang w:val="en-US" w:eastAsia="zh-CN"/>
        </w:rPr>
        <w:t>双</w:t>
      </w:r>
      <w:r>
        <w:rPr>
          <w:rFonts w:hint="eastAsia" w:ascii="宋体" w:hAnsi="宋体" w:eastAsia="宋体" w:cs="宋体"/>
          <w:kern w:val="2"/>
          <w:sz w:val="24"/>
          <w:szCs w:val="24"/>
          <w:highlight w:val="none"/>
        </w:rPr>
        <w:t>方签字盖章后生效，</w:t>
      </w:r>
      <w:r>
        <w:rPr>
          <w:rFonts w:hint="eastAsia" w:ascii="宋体" w:hAnsi="宋体" w:eastAsia="宋体" w:cs="宋体"/>
          <w:color w:val="auto"/>
          <w:kern w:val="2"/>
          <w:sz w:val="24"/>
          <w:szCs w:val="24"/>
          <w:highlight w:val="none"/>
          <w:lang w:eastAsia="zh-CN"/>
        </w:rPr>
        <w:t>未尽事宜，双方协商解决。</w:t>
      </w:r>
    </w:p>
    <w:p w14:paraId="1CDAA0FB">
      <w:pPr>
        <w:widowControl/>
        <w:snapToGrid w:val="0"/>
        <w:spacing w:line="460" w:lineRule="exact"/>
        <w:ind w:left="479" w:leftChars="228"/>
        <w:jc w:val="both"/>
        <w:textAlignment w:val="baseline"/>
        <w:rPr>
          <w:rFonts w:hint="eastAsia" w:ascii="宋体" w:hAnsi="宋体" w:eastAsia="宋体" w:cs="宋体"/>
          <w:kern w:val="0"/>
          <w:sz w:val="24"/>
          <w:szCs w:val="24"/>
          <w:lang w:val="en-US" w:eastAsia="zh-CN" w:bidi="ar-SA"/>
        </w:rPr>
      </w:pPr>
    </w:p>
    <w:p w14:paraId="6F53A94C">
      <w:pPr>
        <w:widowControl/>
        <w:spacing w:line="360" w:lineRule="auto"/>
        <w:ind w:firstLine="567"/>
        <w:jc w:val="left"/>
        <w:rPr>
          <w:rFonts w:hint="eastAsia" w:ascii="宋体" w:hAnsi="宋体" w:eastAsia="宋体" w:cs="宋体"/>
          <w:kern w:val="0"/>
          <w:sz w:val="24"/>
        </w:rPr>
      </w:pPr>
    </w:p>
    <w:p w14:paraId="2E2F3DF1">
      <w:pPr>
        <w:widowControl/>
        <w:spacing w:line="360" w:lineRule="auto"/>
        <w:ind w:firstLine="482" w:firstLineChars="200"/>
        <w:jc w:val="left"/>
        <w:rPr>
          <w:rFonts w:hint="eastAsia" w:ascii="宋体" w:hAnsi="宋体" w:eastAsia="宋体" w:cs="宋体"/>
          <w:b/>
          <w:kern w:val="0"/>
          <w:sz w:val="24"/>
        </w:rPr>
      </w:pPr>
      <w:r>
        <w:rPr>
          <w:rFonts w:hint="eastAsia" w:ascii="宋体" w:hAnsi="宋体" w:eastAsia="宋体" w:cs="宋体"/>
          <w:b/>
          <w:kern w:val="0"/>
          <w:sz w:val="24"/>
        </w:rPr>
        <w:t>（以下无正文）</w:t>
      </w:r>
    </w:p>
    <w:p w14:paraId="19CF484E">
      <w:pPr>
        <w:widowControl/>
        <w:spacing w:line="360" w:lineRule="auto"/>
        <w:ind w:firstLine="482" w:firstLineChars="200"/>
        <w:jc w:val="left"/>
        <w:rPr>
          <w:rFonts w:hint="eastAsia" w:ascii="宋体" w:hAnsi="宋体" w:eastAsia="宋体" w:cs="宋体"/>
          <w:b/>
          <w:kern w:val="0"/>
          <w:sz w:val="24"/>
        </w:rPr>
      </w:pPr>
    </w:p>
    <w:p w14:paraId="57194501">
      <w:pPr>
        <w:rPr>
          <w:rFonts w:hint="eastAsia" w:ascii="宋体" w:hAnsi="宋体" w:eastAsia="宋体" w:cs="宋体"/>
          <w:b/>
          <w:kern w:val="2"/>
          <w:sz w:val="21"/>
          <w:szCs w:val="24"/>
          <w:lang w:val="en-US" w:eastAsia="zh-CN" w:bidi="ar-SA"/>
        </w:rPr>
      </w:pPr>
    </w:p>
    <w:p w14:paraId="58A88308">
      <w:pPr>
        <w:rPr>
          <w:rFonts w:hint="eastAsia" w:ascii="宋体" w:hAnsi="宋体" w:eastAsia="宋体" w:cs="宋体"/>
          <w:b/>
          <w:kern w:val="2"/>
          <w:sz w:val="21"/>
          <w:szCs w:val="24"/>
          <w:lang w:val="en-US" w:eastAsia="zh-CN" w:bidi="ar-SA"/>
        </w:rPr>
      </w:pPr>
    </w:p>
    <w:tbl>
      <w:tblPr>
        <w:tblStyle w:val="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51"/>
        <w:gridCol w:w="2110"/>
        <w:gridCol w:w="2151"/>
        <w:gridCol w:w="2110"/>
      </w:tblGrid>
      <w:tr w14:paraId="122248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265" w:type="dxa"/>
          </w:tcPr>
          <w:p w14:paraId="2F5C54D9">
            <w:pPr>
              <w:widowControl/>
              <w:spacing w:line="360" w:lineRule="auto"/>
              <w:jc w:val="left"/>
              <w:rPr>
                <w:rFonts w:hint="eastAsia" w:ascii="宋体" w:hAnsi="宋体" w:eastAsia="宋体" w:cs="宋体"/>
                <w:kern w:val="0"/>
                <w:sz w:val="24"/>
              </w:rPr>
            </w:pPr>
            <w:r>
              <w:rPr>
                <w:rFonts w:hint="eastAsia" w:ascii="宋体" w:hAnsi="宋体" w:eastAsia="宋体" w:cs="宋体"/>
                <w:kern w:val="0"/>
                <w:sz w:val="24"/>
              </w:rPr>
              <w:t>甲方（盖章）：</w:t>
            </w:r>
          </w:p>
        </w:tc>
        <w:tc>
          <w:tcPr>
            <w:tcW w:w="2265" w:type="dxa"/>
          </w:tcPr>
          <w:p w14:paraId="68BBF045">
            <w:pPr>
              <w:widowControl/>
              <w:spacing w:line="360" w:lineRule="auto"/>
              <w:jc w:val="left"/>
              <w:rPr>
                <w:rFonts w:hint="eastAsia" w:ascii="宋体" w:hAnsi="宋体" w:eastAsia="宋体" w:cs="宋体"/>
                <w:kern w:val="0"/>
                <w:sz w:val="24"/>
              </w:rPr>
            </w:pPr>
          </w:p>
        </w:tc>
        <w:tc>
          <w:tcPr>
            <w:tcW w:w="2265" w:type="dxa"/>
          </w:tcPr>
          <w:p w14:paraId="69154AB7">
            <w:pPr>
              <w:widowControl/>
              <w:spacing w:line="360" w:lineRule="auto"/>
              <w:jc w:val="left"/>
              <w:rPr>
                <w:rFonts w:hint="eastAsia" w:ascii="宋体" w:hAnsi="宋体" w:eastAsia="宋体" w:cs="宋体"/>
                <w:kern w:val="0"/>
                <w:sz w:val="24"/>
              </w:rPr>
            </w:pPr>
            <w:r>
              <w:rPr>
                <w:rFonts w:hint="eastAsia" w:ascii="宋体" w:hAnsi="宋体" w:eastAsia="宋体" w:cs="宋体"/>
                <w:kern w:val="0"/>
                <w:sz w:val="24"/>
              </w:rPr>
              <w:t>乙方（盖章）：</w:t>
            </w:r>
          </w:p>
        </w:tc>
        <w:tc>
          <w:tcPr>
            <w:tcW w:w="2265" w:type="dxa"/>
          </w:tcPr>
          <w:p w14:paraId="3BFDEB1F">
            <w:pPr>
              <w:widowControl/>
              <w:spacing w:line="360" w:lineRule="auto"/>
              <w:jc w:val="left"/>
              <w:rPr>
                <w:rFonts w:hint="eastAsia" w:ascii="宋体" w:hAnsi="宋体" w:eastAsia="宋体" w:cs="宋体"/>
                <w:kern w:val="0"/>
                <w:sz w:val="24"/>
              </w:rPr>
            </w:pPr>
          </w:p>
        </w:tc>
      </w:tr>
      <w:tr w14:paraId="2FE9F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5" w:type="dxa"/>
          </w:tcPr>
          <w:p w14:paraId="218AB685">
            <w:pPr>
              <w:widowControl/>
              <w:spacing w:line="360" w:lineRule="auto"/>
              <w:jc w:val="left"/>
              <w:rPr>
                <w:rFonts w:hint="eastAsia" w:ascii="宋体" w:hAnsi="宋体" w:eastAsia="宋体" w:cs="宋体"/>
                <w:kern w:val="0"/>
                <w:sz w:val="24"/>
              </w:rPr>
            </w:pPr>
            <w:r>
              <w:rPr>
                <w:rFonts w:hint="eastAsia" w:ascii="宋体" w:hAnsi="宋体" w:eastAsia="宋体" w:cs="宋体"/>
                <w:kern w:val="0"/>
                <w:sz w:val="24"/>
              </w:rPr>
              <w:t>法定代表人（委托代理人）：</w:t>
            </w:r>
          </w:p>
        </w:tc>
        <w:tc>
          <w:tcPr>
            <w:tcW w:w="2265" w:type="dxa"/>
          </w:tcPr>
          <w:p w14:paraId="687A267D">
            <w:pPr>
              <w:widowControl/>
              <w:spacing w:line="360" w:lineRule="auto"/>
              <w:jc w:val="left"/>
              <w:rPr>
                <w:rFonts w:hint="eastAsia" w:ascii="宋体" w:hAnsi="宋体" w:eastAsia="宋体" w:cs="宋体"/>
                <w:kern w:val="0"/>
                <w:sz w:val="24"/>
              </w:rPr>
            </w:pPr>
          </w:p>
        </w:tc>
        <w:tc>
          <w:tcPr>
            <w:tcW w:w="2265" w:type="dxa"/>
          </w:tcPr>
          <w:p w14:paraId="0C101824">
            <w:pPr>
              <w:widowControl/>
              <w:spacing w:line="360" w:lineRule="auto"/>
              <w:jc w:val="left"/>
              <w:rPr>
                <w:rFonts w:hint="eastAsia" w:ascii="宋体" w:hAnsi="宋体" w:eastAsia="宋体" w:cs="宋体"/>
                <w:kern w:val="0"/>
                <w:sz w:val="24"/>
              </w:rPr>
            </w:pPr>
            <w:r>
              <w:rPr>
                <w:rFonts w:hint="eastAsia" w:ascii="宋体" w:hAnsi="宋体" w:eastAsia="宋体" w:cs="宋体"/>
                <w:kern w:val="0"/>
                <w:sz w:val="24"/>
              </w:rPr>
              <w:t>法定代表人（委托代理人）：</w:t>
            </w:r>
          </w:p>
        </w:tc>
        <w:tc>
          <w:tcPr>
            <w:tcW w:w="2265" w:type="dxa"/>
          </w:tcPr>
          <w:p w14:paraId="79D380B8">
            <w:pPr>
              <w:widowControl/>
              <w:spacing w:line="360" w:lineRule="auto"/>
              <w:jc w:val="left"/>
              <w:rPr>
                <w:rFonts w:hint="eastAsia" w:ascii="宋体" w:hAnsi="宋体" w:eastAsia="宋体" w:cs="宋体"/>
                <w:kern w:val="0"/>
                <w:sz w:val="24"/>
              </w:rPr>
            </w:pPr>
          </w:p>
        </w:tc>
      </w:tr>
      <w:tr w14:paraId="209F37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5" w:type="dxa"/>
          </w:tcPr>
          <w:p w14:paraId="3214F096">
            <w:pPr>
              <w:widowControl/>
              <w:spacing w:line="360" w:lineRule="auto"/>
              <w:jc w:val="left"/>
              <w:rPr>
                <w:rFonts w:hint="eastAsia" w:ascii="宋体" w:hAnsi="宋体" w:eastAsia="宋体" w:cs="宋体"/>
                <w:kern w:val="0"/>
                <w:sz w:val="24"/>
              </w:rPr>
            </w:pPr>
            <w:r>
              <w:rPr>
                <w:rFonts w:hint="eastAsia" w:ascii="宋体" w:hAnsi="宋体" w:eastAsia="宋体" w:cs="宋体"/>
                <w:kern w:val="0"/>
                <w:sz w:val="24"/>
              </w:rPr>
              <w:t>地　　址：</w:t>
            </w:r>
          </w:p>
        </w:tc>
        <w:tc>
          <w:tcPr>
            <w:tcW w:w="2265" w:type="dxa"/>
          </w:tcPr>
          <w:p w14:paraId="75072B3F">
            <w:pPr>
              <w:widowControl/>
              <w:spacing w:line="360" w:lineRule="auto"/>
              <w:jc w:val="left"/>
              <w:rPr>
                <w:rFonts w:hint="eastAsia" w:ascii="宋体" w:hAnsi="宋体" w:eastAsia="宋体" w:cs="宋体"/>
                <w:kern w:val="0"/>
                <w:sz w:val="24"/>
              </w:rPr>
            </w:pPr>
          </w:p>
        </w:tc>
        <w:tc>
          <w:tcPr>
            <w:tcW w:w="2265" w:type="dxa"/>
          </w:tcPr>
          <w:p w14:paraId="05502FC2">
            <w:pPr>
              <w:widowControl/>
              <w:spacing w:line="360" w:lineRule="auto"/>
              <w:jc w:val="left"/>
              <w:rPr>
                <w:rFonts w:hint="eastAsia" w:ascii="宋体" w:hAnsi="宋体" w:eastAsia="宋体" w:cs="宋体"/>
                <w:kern w:val="0"/>
                <w:sz w:val="24"/>
              </w:rPr>
            </w:pPr>
            <w:r>
              <w:rPr>
                <w:rFonts w:hint="eastAsia" w:ascii="宋体" w:hAnsi="宋体" w:eastAsia="宋体" w:cs="宋体"/>
                <w:kern w:val="0"/>
                <w:sz w:val="24"/>
              </w:rPr>
              <w:t>地　　址：</w:t>
            </w:r>
          </w:p>
        </w:tc>
        <w:tc>
          <w:tcPr>
            <w:tcW w:w="2265" w:type="dxa"/>
          </w:tcPr>
          <w:p w14:paraId="1DC7CCF9">
            <w:pPr>
              <w:widowControl/>
              <w:spacing w:line="360" w:lineRule="auto"/>
              <w:jc w:val="left"/>
              <w:rPr>
                <w:rFonts w:hint="eastAsia" w:ascii="宋体" w:hAnsi="宋体" w:eastAsia="宋体" w:cs="宋体"/>
                <w:kern w:val="0"/>
                <w:sz w:val="24"/>
              </w:rPr>
            </w:pPr>
          </w:p>
        </w:tc>
      </w:tr>
      <w:tr w14:paraId="2BDEE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5" w:type="dxa"/>
          </w:tcPr>
          <w:p w14:paraId="7FD9766D">
            <w:pPr>
              <w:widowControl/>
              <w:spacing w:line="360" w:lineRule="auto"/>
              <w:jc w:val="left"/>
              <w:rPr>
                <w:rFonts w:hint="eastAsia" w:ascii="宋体" w:hAnsi="宋体" w:eastAsia="宋体" w:cs="宋体"/>
                <w:kern w:val="0"/>
                <w:sz w:val="24"/>
              </w:rPr>
            </w:pPr>
            <w:r>
              <w:rPr>
                <w:rFonts w:hint="eastAsia" w:ascii="宋体" w:hAnsi="宋体" w:eastAsia="宋体" w:cs="宋体"/>
                <w:kern w:val="0"/>
                <w:sz w:val="24"/>
              </w:rPr>
              <w:t>开户银行：</w:t>
            </w:r>
          </w:p>
        </w:tc>
        <w:tc>
          <w:tcPr>
            <w:tcW w:w="2265" w:type="dxa"/>
          </w:tcPr>
          <w:p w14:paraId="7EB2F026">
            <w:pPr>
              <w:widowControl/>
              <w:spacing w:line="360" w:lineRule="auto"/>
              <w:jc w:val="left"/>
              <w:rPr>
                <w:rFonts w:hint="eastAsia" w:ascii="宋体" w:hAnsi="宋体" w:eastAsia="宋体" w:cs="宋体"/>
                <w:kern w:val="0"/>
                <w:sz w:val="24"/>
              </w:rPr>
            </w:pPr>
          </w:p>
        </w:tc>
        <w:tc>
          <w:tcPr>
            <w:tcW w:w="2265" w:type="dxa"/>
          </w:tcPr>
          <w:p w14:paraId="17AA6CF3">
            <w:pPr>
              <w:widowControl/>
              <w:spacing w:line="360" w:lineRule="auto"/>
              <w:jc w:val="left"/>
              <w:rPr>
                <w:rFonts w:hint="eastAsia" w:ascii="宋体" w:hAnsi="宋体" w:eastAsia="宋体" w:cs="宋体"/>
                <w:kern w:val="0"/>
                <w:sz w:val="24"/>
              </w:rPr>
            </w:pPr>
            <w:r>
              <w:rPr>
                <w:rFonts w:hint="eastAsia" w:ascii="宋体" w:hAnsi="宋体" w:eastAsia="宋体" w:cs="宋体"/>
                <w:kern w:val="0"/>
                <w:sz w:val="24"/>
              </w:rPr>
              <w:t>开户银行：</w:t>
            </w:r>
          </w:p>
        </w:tc>
        <w:tc>
          <w:tcPr>
            <w:tcW w:w="2265" w:type="dxa"/>
          </w:tcPr>
          <w:p w14:paraId="4DC32AD6">
            <w:pPr>
              <w:widowControl/>
              <w:spacing w:line="360" w:lineRule="auto"/>
              <w:jc w:val="left"/>
              <w:rPr>
                <w:rFonts w:hint="eastAsia" w:ascii="宋体" w:hAnsi="宋体" w:eastAsia="宋体" w:cs="宋体"/>
                <w:kern w:val="0"/>
                <w:sz w:val="24"/>
              </w:rPr>
            </w:pPr>
          </w:p>
        </w:tc>
      </w:tr>
      <w:tr w14:paraId="6F08C7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5" w:type="dxa"/>
          </w:tcPr>
          <w:p w14:paraId="0770B728">
            <w:pPr>
              <w:widowControl/>
              <w:spacing w:line="360" w:lineRule="auto"/>
              <w:jc w:val="left"/>
              <w:rPr>
                <w:rFonts w:hint="eastAsia" w:ascii="宋体" w:hAnsi="宋体" w:eastAsia="宋体" w:cs="宋体"/>
                <w:kern w:val="0"/>
                <w:sz w:val="24"/>
              </w:rPr>
            </w:pPr>
            <w:r>
              <w:rPr>
                <w:rFonts w:hint="eastAsia" w:ascii="宋体" w:hAnsi="宋体" w:eastAsia="宋体" w:cs="宋体"/>
                <w:kern w:val="0"/>
                <w:sz w:val="24"/>
              </w:rPr>
              <w:t>银行帐号：</w:t>
            </w:r>
          </w:p>
        </w:tc>
        <w:tc>
          <w:tcPr>
            <w:tcW w:w="2265" w:type="dxa"/>
          </w:tcPr>
          <w:p w14:paraId="5D159DA3">
            <w:pPr>
              <w:widowControl/>
              <w:spacing w:line="360" w:lineRule="auto"/>
              <w:jc w:val="left"/>
              <w:rPr>
                <w:rFonts w:hint="eastAsia" w:ascii="宋体" w:hAnsi="宋体" w:eastAsia="宋体" w:cs="宋体"/>
                <w:kern w:val="0"/>
                <w:sz w:val="24"/>
              </w:rPr>
            </w:pPr>
          </w:p>
        </w:tc>
        <w:tc>
          <w:tcPr>
            <w:tcW w:w="2265" w:type="dxa"/>
          </w:tcPr>
          <w:p w14:paraId="733E0A95">
            <w:pPr>
              <w:widowControl/>
              <w:spacing w:line="360" w:lineRule="auto"/>
              <w:jc w:val="left"/>
              <w:rPr>
                <w:rFonts w:hint="eastAsia" w:ascii="宋体" w:hAnsi="宋体" w:eastAsia="宋体" w:cs="宋体"/>
                <w:kern w:val="0"/>
                <w:sz w:val="24"/>
              </w:rPr>
            </w:pPr>
            <w:r>
              <w:rPr>
                <w:rFonts w:hint="eastAsia" w:ascii="宋体" w:hAnsi="宋体" w:eastAsia="宋体" w:cs="宋体"/>
                <w:kern w:val="0"/>
                <w:sz w:val="24"/>
              </w:rPr>
              <w:t>银行帐号：</w:t>
            </w:r>
          </w:p>
        </w:tc>
        <w:tc>
          <w:tcPr>
            <w:tcW w:w="2265" w:type="dxa"/>
          </w:tcPr>
          <w:p w14:paraId="603961F3">
            <w:pPr>
              <w:widowControl/>
              <w:spacing w:line="360" w:lineRule="auto"/>
              <w:jc w:val="left"/>
              <w:rPr>
                <w:rFonts w:hint="eastAsia" w:ascii="宋体" w:hAnsi="宋体" w:eastAsia="宋体" w:cs="宋体"/>
                <w:kern w:val="0"/>
                <w:sz w:val="24"/>
              </w:rPr>
            </w:pPr>
          </w:p>
        </w:tc>
      </w:tr>
      <w:tr w14:paraId="4DE6E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5" w:type="dxa"/>
          </w:tcPr>
          <w:p w14:paraId="316BF625">
            <w:pPr>
              <w:widowControl/>
              <w:spacing w:line="360" w:lineRule="auto"/>
              <w:jc w:val="left"/>
              <w:rPr>
                <w:rFonts w:hint="eastAsia" w:ascii="宋体" w:hAnsi="宋体" w:eastAsia="宋体" w:cs="宋体"/>
                <w:kern w:val="0"/>
                <w:sz w:val="24"/>
              </w:rPr>
            </w:pPr>
            <w:r>
              <w:rPr>
                <w:rFonts w:hint="eastAsia" w:ascii="宋体" w:hAnsi="宋体" w:eastAsia="宋体" w:cs="宋体"/>
                <w:kern w:val="0"/>
                <w:sz w:val="24"/>
              </w:rPr>
              <w:t>电　　话：</w:t>
            </w:r>
          </w:p>
        </w:tc>
        <w:tc>
          <w:tcPr>
            <w:tcW w:w="2265" w:type="dxa"/>
          </w:tcPr>
          <w:p w14:paraId="7FD06F62">
            <w:pPr>
              <w:widowControl/>
              <w:spacing w:line="360" w:lineRule="auto"/>
              <w:jc w:val="left"/>
              <w:rPr>
                <w:rFonts w:hint="eastAsia" w:ascii="宋体" w:hAnsi="宋体" w:eastAsia="宋体" w:cs="宋体"/>
                <w:kern w:val="0"/>
                <w:sz w:val="24"/>
              </w:rPr>
            </w:pPr>
          </w:p>
        </w:tc>
        <w:tc>
          <w:tcPr>
            <w:tcW w:w="2265" w:type="dxa"/>
          </w:tcPr>
          <w:p w14:paraId="799FE78E">
            <w:pPr>
              <w:widowControl/>
              <w:spacing w:line="360" w:lineRule="auto"/>
              <w:jc w:val="left"/>
              <w:rPr>
                <w:rFonts w:hint="eastAsia" w:ascii="宋体" w:hAnsi="宋体" w:eastAsia="宋体" w:cs="宋体"/>
                <w:kern w:val="0"/>
                <w:sz w:val="24"/>
              </w:rPr>
            </w:pPr>
            <w:r>
              <w:rPr>
                <w:rFonts w:hint="eastAsia" w:ascii="宋体" w:hAnsi="宋体" w:eastAsia="宋体" w:cs="宋体"/>
                <w:kern w:val="0"/>
                <w:sz w:val="24"/>
              </w:rPr>
              <w:t>电　　话：</w:t>
            </w:r>
          </w:p>
        </w:tc>
        <w:tc>
          <w:tcPr>
            <w:tcW w:w="2265" w:type="dxa"/>
          </w:tcPr>
          <w:p w14:paraId="1C78F53A">
            <w:pPr>
              <w:widowControl/>
              <w:spacing w:line="360" w:lineRule="auto"/>
              <w:jc w:val="left"/>
              <w:rPr>
                <w:rFonts w:hint="eastAsia" w:ascii="宋体" w:hAnsi="宋体" w:eastAsia="宋体" w:cs="宋体"/>
                <w:kern w:val="0"/>
                <w:sz w:val="24"/>
              </w:rPr>
            </w:pPr>
          </w:p>
        </w:tc>
      </w:tr>
      <w:tr w14:paraId="58E97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5" w:type="dxa"/>
          </w:tcPr>
          <w:p w14:paraId="7058A6C4">
            <w:pPr>
              <w:widowControl/>
              <w:spacing w:line="360" w:lineRule="auto"/>
              <w:jc w:val="left"/>
              <w:rPr>
                <w:rFonts w:hint="eastAsia" w:ascii="宋体" w:hAnsi="宋体" w:eastAsia="宋体" w:cs="宋体"/>
                <w:kern w:val="0"/>
                <w:sz w:val="24"/>
              </w:rPr>
            </w:pPr>
            <w:r>
              <w:rPr>
                <w:rFonts w:hint="eastAsia" w:ascii="宋体" w:hAnsi="宋体" w:eastAsia="宋体" w:cs="宋体"/>
                <w:kern w:val="0"/>
                <w:sz w:val="24"/>
              </w:rPr>
              <w:t>传　　真：</w:t>
            </w:r>
          </w:p>
        </w:tc>
        <w:tc>
          <w:tcPr>
            <w:tcW w:w="2265" w:type="dxa"/>
          </w:tcPr>
          <w:p w14:paraId="418849AE">
            <w:pPr>
              <w:widowControl/>
              <w:spacing w:line="360" w:lineRule="auto"/>
              <w:jc w:val="left"/>
              <w:rPr>
                <w:rFonts w:hint="eastAsia" w:ascii="宋体" w:hAnsi="宋体" w:eastAsia="宋体" w:cs="宋体"/>
                <w:kern w:val="0"/>
                <w:sz w:val="24"/>
              </w:rPr>
            </w:pPr>
          </w:p>
        </w:tc>
        <w:tc>
          <w:tcPr>
            <w:tcW w:w="2265" w:type="dxa"/>
          </w:tcPr>
          <w:p w14:paraId="34BAAA83">
            <w:pPr>
              <w:widowControl/>
              <w:spacing w:line="360" w:lineRule="auto"/>
              <w:jc w:val="left"/>
              <w:rPr>
                <w:rFonts w:hint="eastAsia" w:ascii="宋体" w:hAnsi="宋体" w:eastAsia="宋体" w:cs="宋体"/>
                <w:kern w:val="0"/>
                <w:sz w:val="24"/>
              </w:rPr>
            </w:pPr>
            <w:r>
              <w:rPr>
                <w:rFonts w:hint="eastAsia" w:ascii="宋体" w:hAnsi="宋体" w:eastAsia="宋体" w:cs="宋体"/>
                <w:kern w:val="0"/>
                <w:sz w:val="24"/>
              </w:rPr>
              <w:t>传　　真：</w:t>
            </w:r>
          </w:p>
        </w:tc>
        <w:tc>
          <w:tcPr>
            <w:tcW w:w="2265" w:type="dxa"/>
          </w:tcPr>
          <w:p w14:paraId="642289B0">
            <w:pPr>
              <w:widowControl/>
              <w:spacing w:line="360" w:lineRule="auto"/>
              <w:jc w:val="left"/>
              <w:rPr>
                <w:rFonts w:hint="eastAsia" w:ascii="宋体" w:hAnsi="宋体" w:eastAsia="宋体" w:cs="宋体"/>
                <w:kern w:val="0"/>
                <w:sz w:val="24"/>
              </w:rPr>
            </w:pPr>
          </w:p>
        </w:tc>
      </w:tr>
      <w:tr w14:paraId="3E862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5" w:type="dxa"/>
          </w:tcPr>
          <w:p w14:paraId="6DF6A765">
            <w:pPr>
              <w:widowControl/>
              <w:spacing w:line="360" w:lineRule="auto"/>
              <w:jc w:val="left"/>
              <w:rPr>
                <w:rFonts w:hint="eastAsia" w:ascii="宋体" w:hAnsi="宋体" w:eastAsia="宋体" w:cs="宋体"/>
                <w:kern w:val="0"/>
                <w:sz w:val="24"/>
              </w:rPr>
            </w:pPr>
            <w:r>
              <w:rPr>
                <w:rFonts w:hint="eastAsia" w:ascii="宋体" w:hAnsi="宋体" w:eastAsia="宋体" w:cs="宋体"/>
                <w:kern w:val="0"/>
                <w:sz w:val="24"/>
              </w:rPr>
              <w:t>签约日期：</w:t>
            </w:r>
          </w:p>
        </w:tc>
        <w:tc>
          <w:tcPr>
            <w:tcW w:w="2265" w:type="dxa"/>
          </w:tcPr>
          <w:p w14:paraId="6AA70B5E">
            <w:pPr>
              <w:widowControl/>
              <w:spacing w:line="360" w:lineRule="auto"/>
              <w:jc w:val="left"/>
              <w:rPr>
                <w:rFonts w:hint="eastAsia" w:ascii="宋体" w:hAnsi="宋体" w:eastAsia="宋体" w:cs="宋体"/>
                <w:kern w:val="0"/>
                <w:sz w:val="24"/>
              </w:rPr>
            </w:pPr>
            <w:r>
              <w:rPr>
                <w:rFonts w:hint="eastAsia" w:ascii="宋体" w:hAnsi="宋体" w:eastAsia="宋体" w:cs="宋体"/>
                <w:kern w:val="0"/>
                <w:sz w:val="24"/>
                <w:lang w:val="en-US" w:eastAsia="zh-CN"/>
              </w:rPr>
              <w:t xml:space="preserve">    </w:t>
            </w:r>
            <w:r>
              <w:rPr>
                <w:rFonts w:hint="eastAsia" w:ascii="宋体" w:hAnsi="宋体" w:eastAsia="宋体" w:cs="宋体"/>
                <w:kern w:val="0"/>
                <w:sz w:val="24"/>
              </w:rPr>
              <w:t>年</w:t>
            </w:r>
            <w:r>
              <w:rPr>
                <w:rFonts w:hint="eastAsia" w:ascii="宋体" w:hAnsi="宋体" w:eastAsia="宋体" w:cs="宋体"/>
                <w:kern w:val="0"/>
                <w:sz w:val="24"/>
                <w:lang w:val="en-US" w:eastAsia="zh-CN"/>
              </w:rPr>
              <w:t xml:space="preserve">   </w:t>
            </w:r>
            <w:r>
              <w:rPr>
                <w:rFonts w:hint="eastAsia" w:ascii="宋体" w:hAnsi="宋体" w:eastAsia="宋体" w:cs="宋体"/>
                <w:kern w:val="0"/>
                <w:sz w:val="24"/>
              </w:rPr>
              <w:t>月</w:t>
            </w:r>
            <w:r>
              <w:rPr>
                <w:rFonts w:hint="eastAsia" w:ascii="宋体" w:hAnsi="宋体" w:eastAsia="宋体" w:cs="宋体"/>
                <w:kern w:val="0"/>
                <w:sz w:val="24"/>
                <w:lang w:val="en-US" w:eastAsia="zh-CN"/>
              </w:rPr>
              <w:t xml:space="preserve">   </w:t>
            </w:r>
            <w:r>
              <w:rPr>
                <w:rFonts w:hint="eastAsia" w:ascii="宋体" w:hAnsi="宋体" w:eastAsia="宋体" w:cs="宋体"/>
                <w:kern w:val="0"/>
                <w:sz w:val="24"/>
              </w:rPr>
              <w:t>日</w:t>
            </w:r>
          </w:p>
        </w:tc>
        <w:tc>
          <w:tcPr>
            <w:tcW w:w="2265" w:type="dxa"/>
          </w:tcPr>
          <w:p w14:paraId="6B49E5DC">
            <w:pPr>
              <w:widowControl/>
              <w:spacing w:line="360" w:lineRule="auto"/>
              <w:jc w:val="left"/>
              <w:rPr>
                <w:rFonts w:hint="eastAsia" w:ascii="宋体" w:hAnsi="宋体" w:eastAsia="宋体" w:cs="宋体"/>
                <w:kern w:val="0"/>
                <w:sz w:val="24"/>
              </w:rPr>
            </w:pPr>
            <w:r>
              <w:rPr>
                <w:rFonts w:hint="eastAsia" w:ascii="宋体" w:hAnsi="宋体" w:eastAsia="宋体" w:cs="宋体"/>
                <w:kern w:val="0"/>
                <w:sz w:val="24"/>
              </w:rPr>
              <w:t>签约日期：</w:t>
            </w:r>
          </w:p>
        </w:tc>
        <w:tc>
          <w:tcPr>
            <w:tcW w:w="2265" w:type="dxa"/>
          </w:tcPr>
          <w:p w14:paraId="4A0C9BA0">
            <w:pPr>
              <w:widowControl/>
              <w:spacing w:line="360" w:lineRule="auto"/>
              <w:jc w:val="left"/>
              <w:rPr>
                <w:rFonts w:hint="eastAsia" w:ascii="宋体" w:hAnsi="宋体" w:eastAsia="宋体" w:cs="宋体"/>
                <w:kern w:val="0"/>
                <w:sz w:val="24"/>
              </w:rPr>
            </w:pPr>
            <w:r>
              <w:rPr>
                <w:rFonts w:hint="eastAsia" w:ascii="宋体" w:hAnsi="宋体" w:eastAsia="宋体" w:cs="宋体"/>
                <w:kern w:val="0"/>
                <w:sz w:val="24"/>
                <w:lang w:val="en-US" w:eastAsia="zh-CN"/>
              </w:rPr>
              <w:t xml:space="preserve">    </w:t>
            </w:r>
            <w:r>
              <w:rPr>
                <w:rFonts w:hint="eastAsia" w:ascii="宋体" w:hAnsi="宋体" w:eastAsia="宋体" w:cs="宋体"/>
                <w:kern w:val="0"/>
                <w:sz w:val="24"/>
              </w:rPr>
              <w:t>年</w:t>
            </w:r>
            <w:r>
              <w:rPr>
                <w:rFonts w:hint="eastAsia" w:ascii="宋体" w:hAnsi="宋体" w:eastAsia="宋体" w:cs="宋体"/>
                <w:kern w:val="0"/>
                <w:sz w:val="24"/>
                <w:lang w:val="en-US" w:eastAsia="zh-CN"/>
              </w:rPr>
              <w:t xml:space="preserve">   </w:t>
            </w:r>
            <w:r>
              <w:rPr>
                <w:rFonts w:hint="eastAsia" w:ascii="宋体" w:hAnsi="宋体" w:eastAsia="宋体" w:cs="宋体"/>
                <w:kern w:val="0"/>
                <w:sz w:val="24"/>
              </w:rPr>
              <w:t>月</w:t>
            </w:r>
            <w:r>
              <w:rPr>
                <w:rFonts w:hint="eastAsia" w:ascii="宋体" w:hAnsi="宋体" w:eastAsia="宋体" w:cs="宋体"/>
                <w:kern w:val="0"/>
                <w:sz w:val="24"/>
                <w:lang w:val="en-US" w:eastAsia="zh-CN"/>
              </w:rPr>
              <w:t xml:space="preserve">   </w:t>
            </w:r>
            <w:r>
              <w:rPr>
                <w:rFonts w:hint="eastAsia" w:ascii="宋体" w:hAnsi="宋体" w:eastAsia="宋体" w:cs="宋体"/>
                <w:kern w:val="0"/>
                <w:sz w:val="24"/>
              </w:rPr>
              <w:t>日</w:t>
            </w:r>
          </w:p>
        </w:tc>
      </w:tr>
    </w:tbl>
    <w:p w14:paraId="23A49D4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4132C2"/>
    <w:multiLevelType w:val="multilevel"/>
    <w:tmpl w:val="6D4132C2"/>
    <w:lvl w:ilvl="0" w:tentative="0">
      <w:start w:val="1"/>
      <w:numFmt w:val="none"/>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14:cntxtalts w14:val="0"/>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14:cntxtalts w14:val="0"/>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14:cntxtalts w14:val="0"/>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0ZGIzYmI2OWViZTMxZTU3NzUxZjAzNDk3YTI1NDQifQ=="/>
  </w:docVars>
  <w:rsids>
    <w:rsidRoot w:val="05484684"/>
    <w:rsid w:val="054846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金山软件</Company>
  <Pages>5</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2024-08-26T07:26:00Z</dcterms:created>
  <dc:creator>熊掌孙</dc:creator>
  <cp:lastModifiedBy>熊掌孙</cp:lastModifiedBy>
  <dcterms:modified xsi:type="dcterms:W3CDTF">2024-08-26T07:27:57Z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879DF0C8682C4BFBB624EC935370596F_11</vt:lpwstr>
  </property>
</Properties>
</file>