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渭水一路延大创新学院北门路口交通信号灯、电子警察设备系统、视频监控设备增设工程项目(二次)</w:t>
      </w:r>
    </w:p>
    <w:p>
      <w:pPr>
        <w:pStyle w:val="null3"/>
        <w:jc w:val="center"/>
        <w:outlineLvl w:val="2"/>
      </w:pPr>
      <w:r>
        <w:rPr>
          <w:sz w:val="28"/>
          <w:b/>
        </w:rPr>
        <w:t>采购项目编号：</w:t>
      </w:r>
      <w:r>
        <w:rPr>
          <w:sz w:val="28"/>
          <w:b/>
        </w:rPr>
        <w:t>SXZY2024-ZC029-CS-2</w:t>
      </w:r>
      <w:r>
        <w:br/>
      </w:r>
      <w:r>
        <w:br/>
      </w:r>
      <w:r>
        <w:br/>
      </w:r>
    </w:p>
    <w:p>
      <w:pPr>
        <w:pStyle w:val="null3"/>
        <w:jc w:val="center"/>
        <w:outlineLvl w:val="2"/>
      </w:pPr>
      <w:r>
        <w:rPr>
          <w:sz w:val="28"/>
          <w:b/>
        </w:rPr>
        <w:t>西安经济技术开发区渭北新城发展建设管理中心</w:t>
      </w:r>
    </w:p>
    <w:p>
      <w:pPr>
        <w:pStyle w:val="null3"/>
        <w:jc w:val="center"/>
        <w:outlineLvl w:val="2"/>
      </w:pPr>
      <w:r>
        <w:rPr>
          <w:sz w:val="28"/>
          <w:b/>
        </w:rPr>
        <w:t>陕西中易项目管理有限公司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陕西中易项目管理有限公司</w:t>
      </w:r>
      <w:r>
        <w:rPr/>
        <w:t>（以下简称“代理机构”）受</w:t>
      </w:r>
      <w:r>
        <w:rPr/>
        <w:t>西安经济技术开发区渭北新城发展建设管理中心</w:t>
      </w:r>
      <w:r>
        <w:rPr/>
        <w:t>委托，拟对</w:t>
      </w:r>
      <w:r>
        <w:rPr/>
        <w:t>渭水一路延大创新学院北门路口交通信号灯、电子警察设备系统、视频监控设备增设工程项目(二次)</w:t>
      </w:r>
      <w:r>
        <w:rPr/>
        <w:t>采用竞争性磋商采购方式进行采购，兹邀请供应商参加本项目的竞争性磋商。</w:t>
      </w:r>
    </w:p>
    <w:p>
      <w:pPr>
        <w:pStyle w:val="null3"/>
        <w:outlineLvl w:val="2"/>
      </w:pPr>
      <w:r>
        <w:rPr>
          <w:sz w:val="28"/>
          <w:b/>
        </w:rPr>
        <w:t>一、采购项目编号：</w:t>
      </w:r>
      <w:r>
        <w:rPr>
          <w:sz w:val="28"/>
          <w:b/>
        </w:rPr>
        <w:t>SXZY2024-ZC029-CS-2</w:t>
      </w:r>
    </w:p>
    <w:p>
      <w:pPr>
        <w:pStyle w:val="null3"/>
        <w:outlineLvl w:val="2"/>
      </w:pPr>
      <w:r>
        <w:rPr>
          <w:sz w:val="28"/>
          <w:b/>
        </w:rPr>
        <w:t>二、采购项目名称：</w:t>
      </w:r>
      <w:r>
        <w:rPr>
          <w:sz w:val="28"/>
          <w:b/>
        </w:rPr>
        <w:t>渭水一路延大创新学院北门路口交通信号灯、电子警察设备系统、视频监控设备增设工程项目(二次)</w:t>
      </w:r>
    </w:p>
    <w:p>
      <w:pPr>
        <w:pStyle w:val="null3"/>
        <w:outlineLvl w:val="2"/>
      </w:pPr>
      <w:r>
        <w:rPr>
          <w:sz w:val="28"/>
          <w:b/>
        </w:rPr>
        <w:t>三、磋商项目简介</w:t>
      </w:r>
    </w:p>
    <w:p>
      <w:pPr>
        <w:pStyle w:val="null3"/>
        <w:ind w:firstLine="480"/>
      </w:pPr>
      <w:r>
        <w:rPr/>
        <w:t>为了保障延大创新学院师生出行安全，为延大项目路口处增设道路交通信号灯，并在渭水一路东西方向设立闯红灯和超速抓拍设备，同时在校门口设立360°全时段监控摄像头以增强校园周边交通秩序管控力度。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采购包1（渭水一路延大创新学院北门路口交通信号灯、电子警察设备系统、视频监控设备增设工程项目）：属于专门面向中小企业采购。</w:t>
      </w:r>
    </w:p>
    <w:p>
      <w:pPr>
        <w:pStyle w:val="null3"/>
      </w:pPr>
      <w:r>
        <w:rPr/>
        <w:t>供应商以联合体形式参加本采购包的，联合体各方应当为中小企业。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1、营业执照：具有独立承担民事责任能力的法人、其他组织或自然人，提供合法有效的统一社会信用代码营业执照（事业单位提供事业单位法人证书，自然人应提供身份证）</w:t>
      </w:r>
    </w:p>
    <w:p>
      <w:pPr>
        <w:pStyle w:val="null3"/>
      </w:pPr>
      <w:r>
        <w:rPr/>
        <w:t>2、财务状况报告：提供具有财务审计资质单位出具的2023年度完整的财务报告（成立时间至开标时间不足一年的可提供成立后任意时段的资产负债表）或开标前六个月内其基本账户银行出具的资信证明</w:t>
      </w:r>
    </w:p>
    <w:p>
      <w:pPr>
        <w:pStyle w:val="null3"/>
      </w:pPr>
      <w:r>
        <w:rPr/>
        <w:t>3、税收缴纳证明：提供截止至开标时间前一年内任意一个月的税收缴费凭据；（依法免税的供应商应提供相关文件证明）</w:t>
      </w:r>
    </w:p>
    <w:p>
      <w:pPr>
        <w:pStyle w:val="null3"/>
      </w:pPr>
      <w:r>
        <w:rPr/>
        <w:t>4、社会保障资金缴纳证明：提供截止至开标时间前一年内任意一个月的社保缴费凭据或社保机构开具的社会保险参保缴费情况证明；（依法不需要缴纳社会保障资金的供应商应提供相关证明）</w:t>
      </w:r>
    </w:p>
    <w:p>
      <w:pPr>
        <w:pStyle w:val="null3"/>
      </w:pPr>
      <w:r>
        <w:rPr/>
        <w:t>5、说明及承诺：1.提供具有履行本合同所必需的设备和专业技术能力的说明及承诺；（提供书面说明及承诺，加盖供应商公章或电子章）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p>
      <w:pPr>
        <w:pStyle w:val="null3"/>
      </w:pPr>
      <w:r>
        <w:rPr/>
        <w:t>6、授权委托书：法定代表人直接参加投标的，须提供法定代表人身份证明(附法人身份证复印件）；法定代表人授权代表参加投标的，须提供法定代表人授权委托书(附法人及被授权人身份证复印件）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t>7、企业资质：1.设计资质：具备市政专业（道路工程）乙级及以上资质、2.施工资质：具备市政公用工程施工总承包三级及以上资质，并具有合格有效的安全生产许可证。</w:t>
      </w:r>
    </w:p>
    <w:p>
      <w:pPr>
        <w:pStyle w:val="null3"/>
      </w:pPr>
      <w:r>
        <w:rPr/>
        <w:t>8、安全生产许可证：具备有效的安全生产许可证</w:t>
      </w:r>
    </w:p>
    <w:p>
      <w:pPr>
        <w:pStyle w:val="null3"/>
      </w:pPr>
      <w:r>
        <w:rPr/>
        <w:t>9、项目负责人要求：1.拟派工程总承包项目经理需具备市政公用工程专业二级注册建造师资格或高级工程师及以上职称，在本单位注册且无在建工程，（工程总承包项目经理可与施工项目经理、设计负责人为同一人，但需满足拟派工程总承包项目经理资格要求） 2.施工项目经理具备市政公用工程专业二级注册建造师资格且在本单位注册，并具有有效的安全生产考核合格证（建安B证），且未担任其他在建工程的项目经理； 3.设计项目负责人具备中级工程师及以上职称；</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11、控股管理关系：单位负责人为同一人或者存在直接控股、管理关系的不同供应商，不得参加同一合同项下的政府采购活动。（提供书面声明，加盖供应商公章或电子章）</w:t>
      </w:r>
    </w:p>
    <w:p>
      <w:pPr>
        <w:pStyle w:val="null3"/>
      </w:pPr>
      <w:r>
        <w:rPr/>
        <w:t>12、接受联合体申请：接受联合体申请。联合体申请的，应满足下列要求：①联合体各方具有独立法人资格，具备合法有效的营业执照，联合体各方应签订联合体协议书；②联合体各方不得再以自己名义单独或参加其他联合体在本招标项目中投标；③联合体投标的联合体成员不得超过 2 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西安经济技术开发区渭北新城发展建设管理中心</w:t>
      </w:r>
    </w:p>
    <w:p>
      <w:pPr>
        <w:pStyle w:val="null3"/>
      </w:pPr>
      <w:r>
        <w:rPr/>
        <w:t xml:space="preserve"> 地址： </w:t>
      </w:r>
      <w:r>
        <w:rPr/>
        <w:t>西安市临潼区秦王一路中段渭北商务中心</w:t>
      </w:r>
    </w:p>
    <w:p>
      <w:pPr>
        <w:pStyle w:val="null3"/>
      </w:pPr>
      <w:r>
        <w:rPr/>
        <w:t xml:space="preserve"> 邮编： </w:t>
      </w:r>
      <w:r>
        <w:rPr/>
        <w:t>710000</w:t>
      </w:r>
    </w:p>
    <w:p>
      <w:pPr>
        <w:pStyle w:val="null3"/>
      </w:pPr>
      <w:r>
        <w:rPr/>
        <w:t xml:space="preserve"> 联系人： </w:t>
      </w:r>
      <w:r>
        <w:rPr/>
        <w:t>丁工</w:t>
      </w:r>
    </w:p>
    <w:p>
      <w:pPr>
        <w:pStyle w:val="null3"/>
      </w:pPr>
      <w:r>
        <w:rPr/>
        <w:t xml:space="preserve"> 联系电话： </w:t>
      </w:r>
      <w:r>
        <w:rPr/>
        <w:t>029-83990615</w:t>
      </w:r>
    </w:p>
    <w:p>
      <w:pPr>
        <w:pStyle w:val="null3"/>
        <w:outlineLvl w:val="3"/>
      </w:pPr>
      <w:r>
        <w:rPr>
          <w:sz w:val="24"/>
          <w:b/>
        </w:rPr>
        <w:t>代理机构：</w:t>
      </w:r>
      <w:r>
        <w:rPr>
          <w:sz w:val="24"/>
          <w:b/>
        </w:rPr>
        <w:t>陕西中易项目管理有限公司</w:t>
      </w:r>
    </w:p>
    <w:p>
      <w:pPr>
        <w:pStyle w:val="null3"/>
      </w:pPr>
      <w:r>
        <w:rPr/>
        <w:t xml:space="preserve"> 地址： </w:t>
      </w:r>
      <w:r>
        <w:rPr/>
        <w:t>陕西省西安市经济技术开发区凤城七路SCS赛高广场C座13层1303室</w:t>
      </w:r>
    </w:p>
    <w:p>
      <w:pPr>
        <w:pStyle w:val="null3"/>
      </w:pPr>
      <w:r>
        <w:rPr/>
        <w:t xml:space="preserve"> 邮编： </w:t>
      </w:r>
      <w:r>
        <w:rPr/>
        <w:t>710000</w:t>
      </w:r>
    </w:p>
    <w:p>
      <w:pPr>
        <w:pStyle w:val="null3"/>
      </w:pPr>
      <w:r>
        <w:rPr/>
        <w:t xml:space="preserve"> 联系人： </w:t>
      </w:r>
      <w:r>
        <w:rPr/>
        <w:t>吴工</w:t>
      </w:r>
    </w:p>
    <w:p>
      <w:pPr>
        <w:pStyle w:val="null3"/>
      </w:pPr>
      <w:r>
        <w:rPr/>
        <w:t xml:space="preserve"> 联系电话： </w:t>
      </w:r>
      <w:r>
        <w:rPr/>
        <w:t>029-89291292</w:t>
      </w:r>
    </w:p>
    <w:p>
      <w:pPr>
        <w:pStyle w:val="null3"/>
        <w:outlineLvl w:val="3"/>
      </w:pPr>
      <w:r>
        <w:rPr>
          <w:sz w:val="24"/>
          <w:b/>
        </w:rPr>
        <w:t>采购监督机构：</w:t>
      </w:r>
      <w:r>
        <w:rPr>
          <w:sz w:val="24"/>
          <w:b/>
        </w:rPr>
        <w:t>西安经济技术开发区财政金融局</w:t>
      </w:r>
    </w:p>
    <w:p>
      <w:pPr>
        <w:pStyle w:val="null3"/>
        <w:ind w:firstLine="480"/>
      </w:pPr>
      <w:r>
        <w:rPr/>
        <w:t>联系人：</w:t>
      </w:r>
      <w:r>
        <w:rPr/>
        <w:t>金老师</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采购包1：1,168,700.00元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代理服务费收费标准：代理服务费参考国家计委《招标代理服务 费管理暂行办法》（计价格[2002]1980号）、《关于招标代理服务收费有关问题的通知》（发改办价格［2003］857号）规定的标准执行。 采购代理机构银行信息，单位名称：陕西中易项目管理有限公司 开户行：中国建设银行股份有限公司西安经济技术开发区支行 银行账户：61050193004100002355</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西安经济技术开发区渭北新城发展建设管理中心</w:t>
      </w:r>
      <w:r>
        <w:rPr/>
        <w:t>和</w:t>
      </w:r>
      <w:r>
        <w:rPr/>
        <w:t>陕西中易项目管理有限公司</w:t>
      </w:r>
      <w:r>
        <w:rPr/>
        <w:t>享有。对磋商文件中供应商参加本次政府采购活动应当具备的条件，磋商项目技术、服务、商务及其他要求，评审细则及标准由</w:t>
      </w:r>
      <w:r>
        <w:rPr/>
        <w:t>西安经济技术开发区渭北新城发展建设管理中心</w:t>
      </w:r>
      <w:r>
        <w:rPr/>
        <w:t>负责解释。除上述磋商文件内容，其他内容由</w:t>
      </w:r>
      <w:r>
        <w:rPr/>
        <w:t>陕西中易项目管理有限公司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西安经济技术开发区渭北新城发展建设管理中心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陕西中易项目管理有限公司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按时按质按量安标准完成</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陕西中易项目管理有限公司</w:t>
      </w:r>
      <w:r>
        <w:rPr/>
        <w:t xml:space="preserve"> 负责答复；供应商对采购过程的询问、质疑由</w:t>
      </w:r>
      <w:r>
        <w:rPr/>
        <w:t>陕西中易项目管理有限公司</w:t>
      </w:r>
      <w:r>
        <w:rPr/>
        <w:t xml:space="preserve"> 负责答复；供应商对采购结果的询问、质疑由 </w:t>
      </w:r>
      <w:r>
        <w:rPr/>
        <w:t>陕西中易项目管理有限公司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联系人：吴工</w:t>
      </w:r>
    </w:p>
    <w:p>
      <w:pPr>
        <w:pStyle w:val="null3"/>
      </w:pPr>
      <w:r>
        <w:rPr/>
        <w:t>联系电话：02989291292</w:t>
      </w:r>
    </w:p>
    <w:p>
      <w:pPr>
        <w:pStyle w:val="null3"/>
      </w:pPr>
      <w:r>
        <w:rPr/>
        <w:t>地址：陕西省西安市经济技术开发区凤城七路SCS赛高广场C座13层1303室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1,168,700.00</w:t>
      </w:r>
    </w:p>
    <w:p>
      <w:pPr>
        <w:pStyle w:val="null3"/>
      </w:pPr>
      <w:r>
        <w:rPr/>
        <w:t>采购包最高限价（元）: 1,168,700.00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电子设备安装</w:t>
            </w:r>
          </w:p>
        </w:tc>
        <w:tc>
          <w:tcPr>
            <w:tcW w:type="dxa" w:w="1384"/>
          </w:tcPr>
          <w:p>
            <w:pPr>
              <w:pStyle w:val="null3"/>
              <w:jc w:val="right"/>
            </w:pPr>
            <w:r>
              <w:rPr/>
              <w:t>1.00</w:t>
            </w:r>
          </w:p>
        </w:tc>
        <w:tc>
          <w:tcPr>
            <w:tcW w:type="dxa" w:w="1384"/>
          </w:tcPr>
          <w:p>
            <w:pPr>
              <w:pStyle w:val="null3"/>
              <w:jc w:val="right"/>
            </w:pPr>
            <w:r>
              <w:rPr/>
              <w:t>1,168,700.00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1、项目概况</w:t>
            </w:r>
          </w:p>
          <w:p>
            <w:pPr>
              <w:pStyle w:val="null3"/>
            </w:pPr>
            <w:r>
              <w:rPr/>
              <w:t>为了保障延大创新学院师生出行安全，为延大项目路口处增设道路交通信号灯，并在渭水一路东西方向设立闯红灯和超速抓拍设备，同时在校门口设立360°全时段监控摄像头以增强校园周边交通秩序管控力度。</w:t>
            </w:r>
          </w:p>
          <w:p>
            <w:pPr>
              <w:pStyle w:val="null3"/>
            </w:pPr>
            <w:r>
              <w:rPr/>
              <w:t>2、设计部分要求</w:t>
            </w:r>
          </w:p>
          <w:p>
            <w:pPr>
              <w:pStyle w:val="null3"/>
            </w:pPr>
            <w:r>
              <w:rPr/>
              <w:t>2.1渭北新城（渭水一路-延安大学），渭水一路红线宽55.5m，为城市主干路。交通管理设施工程设计内容及范围：本道路与延安大学出口交叉口交通信号灯、视频监控及电子警察系统设计。</w:t>
            </w:r>
          </w:p>
          <w:p>
            <w:pPr>
              <w:pStyle w:val="null3"/>
            </w:pPr>
            <w:r>
              <w:rPr/>
              <w:t>2.2道路等级：城市主干路；设计速度：40公里/小时。</w:t>
            </w:r>
          </w:p>
          <w:p>
            <w:pPr>
              <w:pStyle w:val="null3"/>
            </w:pPr>
            <w:r>
              <w:rPr/>
              <w:t xml:space="preserve">2.3成交单位针对项目的自身特点和条件，在初步设计基础上，按相应的国家规范要求进行施工图绘制。 </w:t>
            </w:r>
          </w:p>
          <w:p>
            <w:pPr>
              <w:pStyle w:val="null3"/>
            </w:pPr>
            <w:r>
              <w:rPr/>
              <w:t>2.4质量标准：合格，并符合国家和地方相关规范、标准等要求。</w:t>
            </w:r>
          </w:p>
          <w:p>
            <w:pPr>
              <w:pStyle w:val="null3"/>
            </w:pPr>
            <w:r>
              <w:rPr/>
              <w:t>3、施工部分要求</w:t>
            </w:r>
          </w:p>
          <w:p>
            <w:pPr>
              <w:pStyle w:val="null3"/>
            </w:pPr>
            <w:r>
              <w:rPr/>
              <w:t>3.1施工服务内容依据</w:t>
            </w:r>
          </w:p>
          <w:p>
            <w:pPr>
              <w:pStyle w:val="null3"/>
            </w:pPr>
            <w:r>
              <w:rPr/>
              <w:t>3.1.1 采购人与成交单位签订的工程施工合同或协议。</w:t>
            </w:r>
          </w:p>
          <w:p>
            <w:pPr>
              <w:pStyle w:val="null3"/>
            </w:pPr>
            <w:r>
              <w:rPr/>
              <w:t>3.1.2工程项目的施工图纸及说明。</w:t>
            </w:r>
          </w:p>
          <w:p>
            <w:pPr>
              <w:pStyle w:val="null3"/>
            </w:pPr>
            <w:r>
              <w:rPr/>
              <w:t>3.1.3 中华人民共和国或西安市现行的建设工程规范、标准。</w:t>
            </w:r>
          </w:p>
          <w:p>
            <w:pPr>
              <w:pStyle w:val="null3"/>
            </w:pPr>
            <w:r>
              <w:rPr/>
              <w:t>3.1.4 除按工程建设施工规范执行外，其验收须同时按招标单位指定的专项标准或要求和工程进度进行验收。</w:t>
            </w:r>
          </w:p>
          <w:p>
            <w:pPr>
              <w:pStyle w:val="null3"/>
            </w:pPr>
            <w:r>
              <w:rPr/>
              <w:t>3.2施工单位要求</w:t>
            </w:r>
          </w:p>
          <w:p>
            <w:pPr>
              <w:pStyle w:val="null3"/>
            </w:pPr>
            <w:r>
              <w:rPr/>
              <w:t>3.2.1审查工程承包商提出的施工组织设计及部分项目工种的施工技术方案和进度计划，提出意见并督促实施。</w:t>
            </w:r>
          </w:p>
          <w:p>
            <w:pPr>
              <w:pStyle w:val="null3"/>
            </w:pPr>
            <w:r>
              <w:rPr/>
              <w:t>3.2.2参加施工方案技术交底。</w:t>
            </w:r>
          </w:p>
          <w:p>
            <w:pPr>
              <w:pStyle w:val="null3"/>
            </w:pPr>
            <w:r>
              <w:rPr/>
              <w:t>3.2.3 根据工程承包合同中的有关要求，工程承包商严格按照中华人民共和国及西安市有关技术规范、规程进行施工。</w:t>
            </w:r>
          </w:p>
          <w:p>
            <w:pPr>
              <w:pStyle w:val="null3"/>
            </w:pPr>
            <w:r>
              <w:rPr/>
              <w:t>3.2.4 施工过程中的全部质量，对主要部位及隐蔽工程的施工质量履行验收制度，切实控制工程质量。</w:t>
            </w:r>
          </w:p>
          <w:p>
            <w:pPr>
              <w:pStyle w:val="null3"/>
            </w:pPr>
            <w:r>
              <w:rPr/>
              <w:t>3.2.5工程采用的主要材料是否符合设计文件或合同中所要求的型号、规格以及质量标准。</w:t>
            </w:r>
          </w:p>
          <w:p>
            <w:pPr>
              <w:pStyle w:val="null3"/>
            </w:pPr>
            <w:r>
              <w:rPr/>
              <w:t>3.2.6 对用于工程的主要材料的出厂合格证、品质化验单等进行核定，若发现有不实之处，有权责成工程承包商(并指定检验单位) 对其质量进行再检验，不合格材料的检验费用由工程承包商支付。</w:t>
            </w:r>
          </w:p>
          <w:p>
            <w:pPr>
              <w:pStyle w:val="null3"/>
            </w:pPr>
            <w:r>
              <w:rPr/>
              <w:t>3.2.7对不合格或不符合要求的分项工程，责成工程承包商立即返溃。</w:t>
            </w:r>
          </w:p>
          <w:p>
            <w:pPr>
              <w:pStyle w:val="null3"/>
            </w:pPr>
            <w:r>
              <w:rPr/>
              <w:t>3.2.8 必须进行工程质量事故处理，并有事故处理方案的实施。</w:t>
            </w:r>
          </w:p>
          <w:p>
            <w:pPr>
              <w:pStyle w:val="null3"/>
            </w:pPr>
            <w:r>
              <w:rPr/>
              <w:t>3.2.9审查并帮助工程承包商建立健全质量保证体系及质量保证措施,并付诸实施。</w:t>
            </w:r>
          </w:p>
          <w:p>
            <w:pPr>
              <w:pStyle w:val="null3"/>
            </w:pPr>
            <w:r>
              <w:rPr/>
              <w:t>3.2.10工程承包商按规定及时收集和整理工程技术资料，做到与工程进度同步交圈，完整齐全。</w:t>
            </w:r>
          </w:p>
          <w:p>
            <w:pPr>
              <w:pStyle w:val="null3"/>
            </w:pPr>
            <w:r>
              <w:rPr/>
              <w:t>3.2.11 工程承包商应该进行工程竣工初期验收和最终验收，对工程的整体质量签署意见。</w:t>
            </w:r>
          </w:p>
          <w:p>
            <w:pPr>
              <w:pStyle w:val="null3"/>
            </w:pPr>
            <w:r>
              <w:rPr/>
              <w:t>3.2.12 施工过程中的安全防护和卫生设施，如发现有不符合要求的， 工程承包商立即改进。</w:t>
            </w:r>
          </w:p>
          <w:p>
            <w:pPr>
              <w:pStyle w:val="null3"/>
            </w:pPr>
            <w:r>
              <w:rPr/>
              <w:t>3.2.13 做好施工日志，正确记载每日工程动态，进行文字和必要的图片记录。</w:t>
            </w:r>
          </w:p>
          <w:p>
            <w:pPr>
              <w:pStyle w:val="null3"/>
            </w:pPr>
            <w:r>
              <w:rPr/>
              <w:t>3.3.竣工、保修</w:t>
            </w:r>
          </w:p>
          <w:p>
            <w:pPr>
              <w:pStyle w:val="null3"/>
            </w:pPr>
            <w:r>
              <w:rPr/>
              <w:t>3.3.1根据招标单位与工程承包商定的时间和数量，督促工程承包商完成符合有关部门要求的全部竣工档案(包括审定工程结算)整理工作，按时提交甲方。</w:t>
            </w:r>
          </w:p>
          <w:p>
            <w:pPr>
              <w:pStyle w:val="null3"/>
            </w:pPr>
            <w:r>
              <w:rPr/>
              <w:t>3.3.2按照西安市建委规定的保修项目及时间，负责检查工程状况,定期进行回访发现问题，分清责任，督促工程承包商保修。</w:t>
            </w:r>
          </w:p>
          <w:p>
            <w:pPr>
              <w:pStyle w:val="null3"/>
            </w:pPr>
            <w:r>
              <w:rPr/>
              <w:t>4、验收要求</w:t>
            </w:r>
          </w:p>
          <w:p>
            <w:pPr>
              <w:pStyle w:val="null3"/>
            </w:pPr>
            <w:r>
              <w:rPr/>
              <w:t>5.1严格按照国家和企业规定的施工及验收规范组织施工。</w:t>
            </w:r>
          </w:p>
          <w:p>
            <w:pPr>
              <w:pStyle w:val="null3"/>
            </w:pPr>
            <w:r>
              <w:rPr/>
              <w:t>5.2合同约定时间完成施工任务，严格按国家有关施工规范、规程、标准施工，保证施工质量，保证交通秩序。</w:t>
            </w:r>
          </w:p>
          <w:p>
            <w:pPr>
              <w:pStyle w:val="null3"/>
            </w:pPr>
            <w:r>
              <w:rPr/>
              <w:t>6、材料要求</w:t>
            </w:r>
          </w:p>
          <w:p>
            <w:pPr>
              <w:pStyle w:val="null3"/>
            </w:pPr>
            <w:r>
              <w:rPr/>
              <w:t>本工程所用主材、辅材均由供应商进行采购、制作、安装，供应商自主报价。</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供应商针对本项目的设计及施工，必须达到国家及行业现行技术规范标准，符合国家及行业验收合格标准。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提供具有财务审计资质单位出具的2023年度完整的财务报告（成立时间至开标时间不足一年的可提供成立后任意时段的资产负债表）或开标前六个月内其基本账户银行出具的资信证明。</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提供具有财务审计资质单位出具的2023年度完整的财务报告（成立时间至开标时间不足一年的可提供成立后任意时段的资产负债表）或开标前六个月内其基本账户银行出具的资信证明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提供截止至开标时间前一年内任意一个月的税收缴费凭据；（依法免税的供应商应提供相关文件证明）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提供截止至开标时间前一年内任意一个月的社保缴费凭据或社保机构开具的社会保险参保缴费情况证明；（依法不需要缴纳社会保障资金的供应商应提供相关证明）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说明及承诺</w:t>
            </w:r>
          </w:p>
        </w:tc>
        <w:tc>
          <w:tcPr>
            <w:tcW w:type="dxa" w:w="3322"/>
          </w:tcPr>
          <w:p>
            <w:pPr>
              <w:pStyle w:val="null3"/>
            </w:pPr>
            <w:r>
              <w:rPr/>
              <w:t>1.提供具有履行本合同所必需的设备和专业技术能力的说明及承诺；（提供书面说明及承诺，加盖供应商公章或电子章） 2.提供参加政府采购活动前三年内在经营活动中没有重大违法记录的书面声明。（提供书面声明，加盖供应商公章或电子章）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授权委托书</w:t>
            </w:r>
          </w:p>
        </w:tc>
        <w:tc>
          <w:tcPr>
            <w:tcW w:type="dxa" w:w="3322"/>
          </w:tcPr>
          <w:p>
            <w:pPr>
              <w:pStyle w:val="null3"/>
            </w:pPr>
            <w:r>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企业资质</w:t>
            </w:r>
          </w:p>
        </w:tc>
        <w:tc>
          <w:tcPr>
            <w:tcW w:type="dxa" w:w="3322"/>
          </w:tcPr>
          <w:p>
            <w:pPr>
              <w:pStyle w:val="null3"/>
            </w:pPr>
            <w:r>
              <w:rPr/>
              <w:t>1.设计资质：具备市政专业（道路工程）乙级及以上资质、2.施工资质：具备市政公用工程施工总承包三级及以上资质，并具有合格有效的安全生产许可证。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安全生产许可证</w:t>
            </w:r>
          </w:p>
        </w:tc>
        <w:tc>
          <w:tcPr>
            <w:tcW w:type="dxa" w:w="3322"/>
          </w:tcPr>
          <w:p>
            <w:pPr>
              <w:pStyle w:val="null3"/>
            </w:pPr>
            <w:r>
              <w:rPr/>
              <w:t>具备有效的安全生产许可证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项目负责人要求</w:t>
            </w:r>
          </w:p>
        </w:tc>
        <w:tc>
          <w:tcPr>
            <w:tcW w:type="dxa" w:w="3322"/>
          </w:tcPr>
          <w:p>
            <w:pPr>
              <w:pStyle w:val="null3"/>
            </w:pPr>
            <w:r>
              <w:rPr/>
              <w:t>1.拟派工程总承包项目经理需具备市政公用工程专业二级注册建造师资格或高级工程师及以上职称，在本单位注册且无在建工程，（工程总承包项目经理可与施工项目经理、设计负责人为同一人，但需满足拟派工程总承包项目经理资格要求） 2.施工项目经理具备市政公用工程专业二级注册建造师资格且在本单位注册，并具有有效的安全生产考核合格证（建安B证），且未担任其他在建工程的项目经理； 3.设计项目负责人具备中级工程师及以上职称；</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单位负责人为同一人或者存在直接控股、管理关系的不同供应商，不得参加同一合同项下的政府采购活动。（提供书面声明，加盖供应商公章或电子章）</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接受联合体申请</w:t>
            </w:r>
          </w:p>
        </w:tc>
        <w:tc>
          <w:tcPr>
            <w:tcW w:type="dxa" w:w="3322"/>
          </w:tcPr>
          <w:p>
            <w:pPr>
              <w:pStyle w:val="null3"/>
            </w:pPr>
            <w:r>
              <w:rPr/>
              <w:t>接受联合体申请。联合体申请的，应满足下列要求：①联合体各方具有独立法人资格，具备合法有效的营业执照，联合体各方应签订联合体协议书；②联合体各方不得再以自己名义单独或参加其他联合体在本招标项目中投标；③联合体投标的联合体成员不得超过 2 家。</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响应文件应逐页加盖单位公章，且公章清晰可见；（2）响应文件格式：应符合采购文件要求；（3）报价：不得提交选择性报价，且报价不超过采购预算。</w:t>
            </w:r>
          </w:p>
        </w:tc>
        <w:tc>
          <w:tcPr>
            <w:tcW w:type="dxa" w:w="1661"/>
          </w:tcPr>
          <w:p>
            <w:pPr>
              <w:pStyle w:val="null3"/>
            </w:pPr>
            <w:r>
              <w:rPr/>
              <w:t>响应文件封面 供应商应提交的相关资格证明材料 标的清单</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（1）对采购文件响应程度：要求全面响应，不能有任何采购人不能接受的附加条件；（2）响应程度：应满足采购文件要求；（3） 工期：应满足采购文件要求；（4 ) 施工地点：采购人指定位置；（5）文件有效期：应满足采购文件要求；</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总体项目管理方案</w:t>
            </w:r>
          </w:p>
        </w:tc>
        <w:tc>
          <w:tcPr>
            <w:tcW w:type="dxa" w:w="2492"/>
          </w:tcPr>
          <w:p>
            <w:pPr>
              <w:pStyle w:val="null3"/>
            </w:pPr>
            <w:r>
              <w:rPr/>
              <w:t>对工程总承包的总体设想、组织形式、各项管理目标及控制措施、 设计与施工的协调措施等内容进行综合描述。 方案详实，贴切实际、实用性强，得[5-8]分； 方案一般详实，一般贴切实际、实用性一般，得[3-5]分； 方案针对性差，不贴切实际，实用性差，得[0-3]分。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设计理念及思路</w:t>
            </w:r>
          </w:p>
        </w:tc>
        <w:tc>
          <w:tcPr>
            <w:tcW w:type="dxa" w:w="2492"/>
          </w:tcPr>
          <w:p>
            <w:pPr>
              <w:pStyle w:val="null3"/>
            </w:pPr>
            <w:r>
              <w:rPr/>
              <w:t>根据本项目的性质特点、区域现状等内容进行描 述，布局合理、功能齐全。 设计理念及思路较详实，较贴切实际、实用性较强，得[6-10]分； 设计理念及思路一般详实，一般贴切实际、实用性一般，得[3-6]分； 设计理念及思路针对性差，不贴切实际，实用性差，得[0-3]分。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设计服务保证措施</w:t>
            </w:r>
          </w:p>
        </w:tc>
        <w:tc>
          <w:tcPr>
            <w:tcW w:type="dxa" w:w="2492"/>
          </w:tcPr>
          <w:p>
            <w:pPr>
              <w:pStyle w:val="null3"/>
            </w:pPr>
            <w:r>
              <w:rPr/>
              <w:t>对本项目设计重点和难点把握的完整性、准确性。 措施合理、可行性强，得[6-10]分； 措施较合理，可行性较强，得[3-6]分； 措施基本满足要求，具备可行性，得[0-3]分。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施工总体方案</w:t>
            </w:r>
          </w:p>
        </w:tc>
        <w:tc>
          <w:tcPr>
            <w:tcW w:type="dxa" w:w="2492"/>
          </w:tcPr>
          <w:p>
            <w:pPr>
              <w:pStyle w:val="null3"/>
            </w:pPr>
            <w:r>
              <w:rPr/>
              <w:t>根据本项目的性质特点、区域现状、现场作业的难点、重点等内容进行的描述以及解决方案。 方案较详实，较贴切实际、实用性较强，得[4-6]分； 方案一般详实，一般贴切实际、实用性一般，得[2-4]分； 方案针对性差，不贴切实际，实用性差，得[0-2]分。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安全生产、文明施工保障措施</w:t>
            </w:r>
          </w:p>
        </w:tc>
        <w:tc>
          <w:tcPr>
            <w:tcW w:type="dxa" w:w="2492"/>
          </w:tcPr>
          <w:p>
            <w:pPr>
              <w:pStyle w:val="null3"/>
            </w:pPr>
            <w:r>
              <w:rPr/>
              <w:t>确保工程质量、安全生产、文明施工、总工期的保障措施。 措施合理、可行性强，得[4-6]分； 措施较合理，可行性较强，得(2-4]分； 措施基本满足要求，具备可行性，得[0-2]分。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施工防护</w:t>
            </w:r>
          </w:p>
        </w:tc>
        <w:tc>
          <w:tcPr>
            <w:tcW w:type="dxa" w:w="2492"/>
          </w:tcPr>
          <w:p>
            <w:pPr>
              <w:pStyle w:val="null3"/>
            </w:pPr>
            <w:r>
              <w:rPr/>
              <w:t>施工期间的防扰民措施，及出现突发事件的解决应急措施。 措施合理、可行性强，得[2-4]分； 措施基本满足要求，具备可行性，得[0-2]分。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施工环境保护</w:t>
            </w:r>
          </w:p>
        </w:tc>
        <w:tc>
          <w:tcPr>
            <w:tcW w:type="dxa" w:w="2492"/>
          </w:tcPr>
          <w:p>
            <w:pPr>
              <w:pStyle w:val="null3"/>
            </w:pPr>
            <w:r>
              <w:rPr/>
              <w:t>施工现场扬尘污染防治措施、成品保护措施以及对项目所在地原有设施的保护措施。 措施合理、可行性强，得[2-4]分； 措施基本满足要求，具备可行性，得[0-2]分。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质量保修方案及措施</w:t>
            </w:r>
          </w:p>
        </w:tc>
        <w:tc>
          <w:tcPr>
            <w:tcW w:type="dxa" w:w="2492"/>
          </w:tcPr>
          <w:p>
            <w:pPr>
              <w:pStyle w:val="null3"/>
            </w:pPr>
            <w:r>
              <w:rPr/>
              <w:t>质量保修方案及措施。 措施合理、可行性强，得[2-4]分； 措施基本满足要求，具备可行性，得[0-2]分。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项目管理机构</w:t>
            </w:r>
          </w:p>
        </w:tc>
        <w:tc>
          <w:tcPr>
            <w:tcW w:type="dxa" w:w="2492"/>
          </w:tcPr>
          <w:p>
            <w:pPr>
              <w:pStyle w:val="null3"/>
            </w:pPr>
            <w:r>
              <w:rPr/>
              <w:t>1、拟投入本项目的设计团队人员配备齐全、经验丰富，满足项目要求。[1-3分] 2、拟投入本项目的施工管理人员配备齐全、合理，满足项目实际要求。[1-4分]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应急方案</w:t>
            </w:r>
          </w:p>
        </w:tc>
        <w:tc>
          <w:tcPr>
            <w:tcW w:type="dxa" w:w="2492"/>
          </w:tcPr>
          <w:p>
            <w:pPr>
              <w:pStyle w:val="null3"/>
            </w:pPr>
            <w:r>
              <w:rPr/>
              <w:t>应急方案有助于项目推进，应对紧急情况可操作性强得[3-5]分； 应急方案较详细，有一定可行性得[0-3]分。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业绩</w:t>
            </w:r>
          </w:p>
        </w:tc>
        <w:tc>
          <w:tcPr>
            <w:tcW w:type="dxa" w:w="2492"/>
          </w:tcPr>
          <w:p>
            <w:pPr>
              <w:pStyle w:val="null3"/>
            </w:pPr>
            <w:r>
              <w:rPr/>
              <w:t>提供自2021年1月1日至今类似项目业绩，每提供1份得2分，最多得6分。 注：时间以中标通知书发出时间或合同签订日期为准，联合体牵头人、联合体成员的施工、设计、EPC业绩均可。</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施工方案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详见附件：施工方案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