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28F70">
      <w:pPr>
        <w:pStyle w:val="3"/>
        <w:numPr>
          <w:ilvl w:val="0"/>
          <w:numId w:val="0"/>
        </w:numPr>
        <w:shd w:val="clear" w:color="auto"/>
        <w:jc w:val="center"/>
        <w:outlineLvl w:val="0"/>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合同条款及格式</w:t>
      </w:r>
    </w:p>
    <w:p w14:paraId="12E89CF1">
      <w:pPr>
        <w:shd w:val="clear" w:color="auto"/>
        <w:spacing w:line="360" w:lineRule="auto"/>
        <w:ind w:right="240" w:rightChars="1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合同编号：</w:t>
      </w:r>
    </w:p>
    <w:p w14:paraId="407B2D91">
      <w:pPr>
        <w:shd w:val="clear" w:color="auto"/>
        <w:spacing w:line="360" w:lineRule="auto"/>
        <w:ind w:right="240" w:rightChars="100"/>
        <w:rPr>
          <w:rFonts w:hint="eastAsia" w:hAnsi="宋体" w:cs="宋体"/>
          <w:b/>
          <w:color w:val="auto"/>
          <w:sz w:val="28"/>
          <w:szCs w:val="28"/>
          <w:highlight w:val="none"/>
        </w:rPr>
      </w:pPr>
    </w:p>
    <w:p w14:paraId="297FE96B">
      <w:pPr>
        <w:shd w:val="clear" w:color="auto"/>
        <w:spacing w:line="360" w:lineRule="auto"/>
        <w:ind w:right="240" w:rightChars="100"/>
        <w:rPr>
          <w:rFonts w:hint="eastAsia" w:hAnsi="宋体" w:cs="宋体"/>
          <w:b/>
          <w:color w:val="auto"/>
          <w:sz w:val="28"/>
          <w:szCs w:val="28"/>
          <w:highlight w:val="none"/>
        </w:rPr>
      </w:pPr>
    </w:p>
    <w:p w14:paraId="6D3DA7A3">
      <w:pPr>
        <w:pStyle w:val="4"/>
        <w:shd w:val="clear" w:color="auto"/>
        <w:rPr>
          <w:rFonts w:hint="eastAsia" w:ascii="宋体" w:hAnsi="宋体" w:cs="宋体"/>
          <w:b/>
          <w:color w:val="auto"/>
          <w:sz w:val="28"/>
          <w:szCs w:val="28"/>
          <w:highlight w:val="none"/>
        </w:rPr>
      </w:pPr>
    </w:p>
    <w:p w14:paraId="4FAE03F3">
      <w:pPr>
        <w:shd w:val="clear" w:color="auto"/>
        <w:rPr>
          <w:rFonts w:hint="eastAsia" w:hAnsi="宋体" w:cs="宋体"/>
          <w:b/>
          <w:color w:val="auto"/>
          <w:sz w:val="28"/>
          <w:szCs w:val="28"/>
          <w:highlight w:val="none"/>
        </w:rPr>
      </w:pPr>
    </w:p>
    <w:p w14:paraId="3C1EECD6">
      <w:pPr>
        <w:pStyle w:val="8"/>
        <w:shd w:val="clear" w:color="auto"/>
        <w:ind w:firstLine="210"/>
        <w:rPr>
          <w:rFonts w:hint="eastAsia"/>
          <w:color w:val="auto"/>
          <w:highlight w:val="none"/>
        </w:rPr>
      </w:pPr>
    </w:p>
    <w:p w14:paraId="0AC2B581">
      <w:pPr>
        <w:shd w:val="clear" w:color="auto"/>
        <w:rPr>
          <w:rFonts w:hint="eastAsia"/>
          <w:color w:val="auto"/>
          <w:highlight w:val="none"/>
        </w:rPr>
      </w:pPr>
    </w:p>
    <w:p w14:paraId="270B4D2F">
      <w:pPr>
        <w:shd w:val="clear" w:color="auto"/>
        <w:spacing w:line="360" w:lineRule="auto"/>
        <w:ind w:right="240" w:rightChars="100"/>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西安市公安局经开分局刑侦大队房租项目</w:t>
      </w:r>
    </w:p>
    <w:p w14:paraId="60B8E890">
      <w:pPr>
        <w:shd w:val="clear" w:color="auto"/>
        <w:spacing w:line="360" w:lineRule="auto"/>
        <w:ind w:right="240" w:rightChars="100"/>
        <w:jc w:val="center"/>
        <w:rPr>
          <w:rFonts w:hint="eastAsia" w:ascii="宋体" w:hAnsi="宋体" w:eastAsia="宋体" w:cs="宋体"/>
          <w:b/>
          <w:color w:val="auto"/>
          <w:sz w:val="28"/>
          <w:szCs w:val="28"/>
          <w:highlight w:val="none"/>
        </w:rPr>
      </w:pPr>
    </w:p>
    <w:p w14:paraId="66096302">
      <w:pPr>
        <w:shd w:val="clear" w:color="auto"/>
        <w:spacing w:line="360" w:lineRule="auto"/>
        <w:ind w:right="240" w:rightChars="100"/>
        <w:jc w:val="center"/>
        <w:rPr>
          <w:rFonts w:hint="eastAsia" w:ascii="宋体" w:hAnsi="宋体" w:eastAsia="宋体" w:cs="宋体"/>
          <w:b/>
          <w:color w:val="auto"/>
          <w:sz w:val="28"/>
          <w:szCs w:val="28"/>
          <w:highlight w:val="none"/>
        </w:rPr>
      </w:pPr>
    </w:p>
    <w:p w14:paraId="2E1ADB78">
      <w:pPr>
        <w:shd w:val="clear" w:color="auto"/>
        <w:spacing w:line="360" w:lineRule="auto"/>
        <w:ind w:right="240" w:rightChars="100"/>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服务合同</w:t>
      </w:r>
    </w:p>
    <w:p w14:paraId="1BE099E3">
      <w:pPr>
        <w:shd w:val="clear" w:color="auto"/>
        <w:spacing w:line="360" w:lineRule="auto"/>
        <w:ind w:right="240" w:rightChars="100"/>
        <w:rPr>
          <w:rFonts w:hint="eastAsia" w:ascii="宋体" w:hAnsi="宋体" w:eastAsia="宋体" w:cs="宋体"/>
          <w:b/>
          <w:color w:val="auto"/>
          <w:sz w:val="28"/>
          <w:szCs w:val="28"/>
          <w:highlight w:val="none"/>
        </w:rPr>
      </w:pPr>
    </w:p>
    <w:p w14:paraId="2676B84D">
      <w:pPr>
        <w:shd w:val="clear" w:color="auto"/>
        <w:spacing w:line="360" w:lineRule="auto"/>
        <w:ind w:right="240" w:rightChars="100"/>
        <w:rPr>
          <w:rFonts w:hint="eastAsia" w:ascii="宋体" w:hAnsi="宋体" w:eastAsia="宋体" w:cs="宋体"/>
          <w:b/>
          <w:color w:val="auto"/>
          <w:sz w:val="28"/>
          <w:szCs w:val="28"/>
          <w:highlight w:val="none"/>
        </w:rPr>
      </w:pPr>
    </w:p>
    <w:p w14:paraId="796A48CC">
      <w:pPr>
        <w:pStyle w:val="8"/>
        <w:shd w:val="clear" w:color="auto"/>
        <w:ind w:firstLine="210"/>
        <w:rPr>
          <w:rFonts w:hint="eastAsia" w:ascii="宋体" w:hAnsi="宋体" w:eastAsia="宋体" w:cs="宋体"/>
          <w:color w:val="auto"/>
          <w:sz w:val="28"/>
          <w:szCs w:val="28"/>
          <w:highlight w:val="none"/>
        </w:rPr>
      </w:pPr>
    </w:p>
    <w:p w14:paraId="15A3C912">
      <w:pPr>
        <w:shd w:val="clear" w:color="auto"/>
        <w:spacing w:line="360" w:lineRule="auto"/>
        <w:ind w:right="240" w:rightChars="100"/>
        <w:rPr>
          <w:rFonts w:hint="eastAsia" w:ascii="宋体" w:hAnsi="宋体" w:eastAsia="宋体" w:cs="宋体"/>
          <w:b/>
          <w:color w:val="auto"/>
          <w:sz w:val="28"/>
          <w:szCs w:val="28"/>
          <w:highlight w:val="none"/>
        </w:rPr>
      </w:pPr>
    </w:p>
    <w:p w14:paraId="2356EA4F">
      <w:pPr>
        <w:shd w:val="clear" w:color="auto"/>
        <w:spacing w:line="360" w:lineRule="auto"/>
        <w:ind w:right="240" w:rightChars="100"/>
        <w:rPr>
          <w:rFonts w:hint="eastAsia" w:ascii="宋体" w:hAnsi="宋体" w:eastAsia="宋体" w:cs="宋体"/>
          <w:b/>
          <w:color w:val="auto"/>
          <w:sz w:val="28"/>
          <w:szCs w:val="28"/>
          <w:highlight w:val="none"/>
        </w:rPr>
      </w:pPr>
    </w:p>
    <w:p w14:paraId="27AF1FC2">
      <w:pPr>
        <w:shd w:val="clear" w:color="auto"/>
        <w:spacing w:line="360" w:lineRule="auto"/>
        <w:ind w:right="240" w:rightChars="100"/>
        <w:rPr>
          <w:rFonts w:hint="eastAsia" w:ascii="宋体" w:hAnsi="宋体" w:eastAsia="宋体" w:cs="宋体"/>
          <w:b/>
          <w:color w:val="auto"/>
          <w:sz w:val="28"/>
          <w:szCs w:val="28"/>
          <w:highlight w:val="none"/>
        </w:rPr>
      </w:pPr>
    </w:p>
    <w:p w14:paraId="348FF1CE">
      <w:pPr>
        <w:shd w:val="clear" w:color="auto"/>
        <w:spacing w:line="360" w:lineRule="auto"/>
        <w:ind w:right="240" w:rightChars="100" w:firstLine="1968" w:firstLineChars="700"/>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采购人（甲方）：</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14:paraId="2C95C4CA">
      <w:pPr>
        <w:shd w:val="clear" w:color="auto"/>
        <w:spacing w:line="360" w:lineRule="auto"/>
        <w:ind w:right="240" w:rightChars="100" w:firstLine="1968" w:firstLineChars="700"/>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供应商（乙方）：</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14:paraId="0BC4BD77">
      <w:pPr>
        <w:pStyle w:val="6"/>
        <w:shd w:val="clear"/>
        <w:rPr>
          <w:rFonts w:hint="eastAsia"/>
          <w:color w:val="auto"/>
          <w:highlight w:val="none"/>
        </w:rPr>
      </w:pPr>
    </w:p>
    <w:p w14:paraId="36615B86">
      <w:pPr>
        <w:shd w:val="clear" w:color="auto"/>
        <w:spacing w:line="360" w:lineRule="auto"/>
        <w:ind w:right="240" w:rightChars="100" w:firstLine="1968" w:firstLineChars="7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年    月    日</w:t>
      </w:r>
    </w:p>
    <w:p w14:paraId="3BCA7B04">
      <w:pPr>
        <w:shd w:val="clear"/>
        <w:spacing w:line="360" w:lineRule="auto"/>
        <w:rPr>
          <w:rFonts w:hint="eastAsia" w:ascii="宋体" w:hAnsi="宋体" w:cs="宋体"/>
          <w:color w:val="auto"/>
          <w:sz w:val="24"/>
          <w:szCs w:val="24"/>
          <w:highlight w:val="none"/>
          <w:u w:val="single" w:color="FFFFFF" w:themeColor="background1"/>
        </w:rPr>
      </w:pPr>
    </w:p>
    <w:p w14:paraId="09F3DB95">
      <w:pPr>
        <w:shd w:val="clear"/>
        <w:spacing w:line="360" w:lineRule="auto"/>
        <w:jc w:val="left"/>
        <w:rPr>
          <w:rFonts w:hint="eastAsia" w:ascii="宋体" w:hAnsi="宋体" w:cs="宋体"/>
          <w:color w:val="auto"/>
          <w:sz w:val="24"/>
          <w:szCs w:val="24"/>
          <w:highlight w:val="none"/>
          <w:u w:val="none"/>
        </w:rPr>
      </w:pPr>
    </w:p>
    <w:p w14:paraId="2557B491">
      <w:pPr>
        <w:shd w:val="clear"/>
        <w:spacing w:line="360" w:lineRule="auto"/>
        <w:jc w:val="left"/>
        <w:rPr>
          <w:rFonts w:hint="default" w:ascii="宋体" w:hAnsi="宋体" w:cs="宋体" w:eastAsiaTheme="minorEastAsia"/>
          <w:color w:val="auto"/>
          <w:sz w:val="24"/>
          <w:szCs w:val="24"/>
          <w:highlight w:val="none"/>
          <w:u w:val="single"/>
          <w:lang w:val="en-US" w:eastAsia="zh-CN"/>
        </w:rPr>
      </w:pPr>
      <w:r>
        <w:rPr>
          <w:rFonts w:hint="eastAsia" w:ascii="宋体" w:hAnsi="宋体" w:cs="宋体"/>
          <w:color w:val="auto"/>
          <w:sz w:val="24"/>
          <w:szCs w:val="24"/>
          <w:highlight w:val="none"/>
          <w:u w:val="none"/>
        </w:rPr>
        <w:t>甲方</w:t>
      </w:r>
      <w:r>
        <w:rPr>
          <w:rFonts w:ascii="宋体" w:hAnsi="宋体" w:cs="宋体"/>
          <w:color w:val="auto"/>
          <w:sz w:val="24"/>
          <w:szCs w:val="24"/>
          <w:highlight w:val="none"/>
          <w:u w:val="none"/>
        </w:rPr>
        <w:t>(出租方)：</w:t>
      </w:r>
      <w:r>
        <w:rPr>
          <w:rFonts w:hint="eastAsia" w:ascii="宋体" w:hAnsi="宋体" w:cs="宋体"/>
          <w:color w:val="auto"/>
          <w:sz w:val="24"/>
          <w:szCs w:val="24"/>
          <w:highlight w:val="none"/>
          <w:u w:val="single"/>
          <w:lang w:val="en-US" w:eastAsia="zh-CN"/>
        </w:rPr>
        <w:t xml:space="preserve">                   </w:t>
      </w:r>
    </w:p>
    <w:p w14:paraId="5665607B">
      <w:pPr>
        <w:shd w:val="clear"/>
        <w:spacing w:line="360" w:lineRule="auto"/>
        <w:jc w:val="left"/>
        <w:rPr>
          <w:rFonts w:hint="default" w:ascii="宋体" w:hAnsi="宋体" w:cs="宋体"/>
          <w:color w:val="auto"/>
          <w:sz w:val="24"/>
          <w:szCs w:val="24"/>
          <w:highlight w:val="none"/>
          <w:u w:val="single"/>
          <w:lang w:val="en-US"/>
        </w:rPr>
      </w:pPr>
      <w:r>
        <w:rPr>
          <w:rFonts w:hint="eastAsia" w:ascii="宋体" w:hAnsi="宋体"/>
          <w:color w:val="auto"/>
          <w:sz w:val="24"/>
          <w:szCs w:val="24"/>
          <w:highlight w:val="none"/>
          <w:u w:val="none"/>
        </w:rPr>
        <w:t>法定代表人：</w:t>
      </w:r>
      <w:r>
        <w:rPr>
          <w:rFonts w:hint="eastAsia" w:ascii="宋体" w:hAnsi="宋体"/>
          <w:color w:val="auto"/>
          <w:sz w:val="24"/>
          <w:szCs w:val="24"/>
          <w:highlight w:val="none"/>
          <w:u w:val="single"/>
          <w:lang w:val="en-US" w:eastAsia="zh-CN"/>
        </w:rPr>
        <w:t xml:space="preserve">                     </w:t>
      </w:r>
    </w:p>
    <w:p w14:paraId="408DA152">
      <w:pPr>
        <w:shd w:val="clear"/>
        <w:spacing w:line="360" w:lineRule="auto"/>
        <w:jc w:val="left"/>
        <w:rPr>
          <w:rFonts w:hint="default" w:ascii="宋体" w:hAnsi="宋体" w:cs="宋体" w:eastAsiaTheme="minorEastAsia"/>
          <w:color w:val="auto"/>
          <w:sz w:val="24"/>
          <w:szCs w:val="24"/>
          <w:highlight w:val="none"/>
          <w:u w:val="single"/>
          <w:lang w:val="en-US" w:eastAsia="zh-CN"/>
        </w:rPr>
      </w:pPr>
      <w:r>
        <w:rPr>
          <w:rFonts w:hint="eastAsia" w:ascii="宋体" w:hAnsi="宋体" w:cs="宋体"/>
          <w:color w:val="auto"/>
          <w:sz w:val="24"/>
          <w:szCs w:val="24"/>
          <w:highlight w:val="none"/>
          <w:u w:val="none"/>
        </w:rPr>
        <w:t>地址：</w:t>
      </w:r>
      <w:r>
        <w:rPr>
          <w:rFonts w:hint="eastAsia" w:ascii="宋体" w:hAnsi="宋体" w:cs="宋体"/>
          <w:color w:val="auto"/>
          <w:sz w:val="24"/>
          <w:szCs w:val="24"/>
          <w:highlight w:val="none"/>
          <w:u w:val="single"/>
          <w:lang w:val="en-US" w:eastAsia="zh-CN"/>
        </w:rPr>
        <w:t xml:space="preserve">                           </w:t>
      </w:r>
    </w:p>
    <w:p w14:paraId="27F263E0">
      <w:pPr>
        <w:shd w:val="clear"/>
        <w:spacing w:line="360" w:lineRule="auto"/>
        <w:jc w:val="left"/>
        <w:rPr>
          <w:rFonts w:hint="default" w:ascii="宋体" w:hAnsi="宋体" w:cs="宋体" w:eastAsiaTheme="minorEastAsia"/>
          <w:color w:val="auto"/>
          <w:sz w:val="24"/>
          <w:szCs w:val="24"/>
          <w:highlight w:val="none"/>
          <w:u w:val="single"/>
          <w:lang w:val="en-US" w:eastAsia="zh-CN"/>
        </w:rPr>
      </w:pPr>
      <w:r>
        <w:rPr>
          <w:rFonts w:hint="eastAsia" w:ascii="宋体" w:hAnsi="宋体" w:cs="宋体"/>
          <w:color w:val="auto"/>
          <w:sz w:val="24"/>
          <w:szCs w:val="24"/>
          <w:highlight w:val="none"/>
          <w:u w:val="none"/>
        </w:rPr>
        <w:t>电话：</w:t>
      </w:r>
      <w:r>
        <w:rPr>
          <w:rFonts w:hint="eastAsia" w:ascii="宋体" w:hAnsi="宋体" w:cs="宋体"/>
          <w:color w:val="auto"/>
          <w:sz w:val="24"/>
          <w:szCs w:val="24"/>
          <w:highlight w:val="none"/>
          <w:u w:val="single"/>
          <w:lang w:val="en-US" w:eastAsia="zh-CN"/>
        </w:rPr>
        <w:t xml:space="preserve">                           </w:t>
      </w:r>
    </w:p>
    <w:p w14:paraId="09FBB732">
      <w:pPr>
        <w:shd w:val="clear"/>
        <w:spacing w:line="360" w:lineRule="auto"/>
        <w:jc w:val="left"/>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u w:val="none"/>
        </w:rPr>
        <w:t>乙方</w:t>
      </w:r>
      <w:r>
        <w:rPr>
          <w:rFonts w:ascii="宋体" w:hAnsi="宋体" w:cs="宋体"/>
          <w:color w:val="auto"/>
          <w:sz w:val="24"/>
          <w:szCs w:val="24"/>
          <w:highlight w:val="none"/>
          <w:u w:val="none"/>
        </w:rPr>
        <w:t>(承租方)：</w:t>
      </w:r>
      <w:r>
        <w:rPr>
          <w:rFonts w:hint="eastAsia" w:ascii="宋体" w:hAnsi="宋体" w:cs="宋体"/>
          <w:color w:val="auto"/>
          <w:sz w:val="24"/>
          <w:szCs w:val="24"/>
          <w:highlight w:val="none"/>
          <w:u w:val="single"/>
          <w:lang w:val="en-US" w:eastAsia="zh-CN"/>
        </w:rPr>
        <w:t xml:space="preserve">                   </w:t>
      </w:r>
    </w:p>
    <w:p w14:paraId="1FFEA483">
      <w:pPr>
        <w:shd w:val="clear"/>
        <w:spacing w:line="360" w:lineRule="auto"/>
        <w:jc w:val="left"/>
        <w:rPr>
          <w:rFonts w:ascii="宋体" w:hAnsi="宋体" w:cs="宋体"/>
          <w:color w:val="auto"/>
          <w:sz w:val="24"/>
          <w:szCs w:val="24"/>
          <w:highlight w:val="none"/>
        </w:rPr>
      </w:pPr>
      <w:r>
        <w:rPr>
          <w:rFonts w:hint="eastAsia" w:ascii="宋体" w:hAnsi="宋体"/>
          <w:color w:val="auto"/>
          <w:sz w:val="24"/>
          <w:szCs w:val="24"/>
          <w:highlight w:val="none"/>
          <w:u w:val="none"/>
        </w:rPr>
        <w:t>法定代表人：</w:t>
      </w:r>
      <w:r>
        <w:rPr>
          <w:rFonts w:hint="eastAsia" w:ascii="宋体" w:hAnsi="宋体" w:cs="宋体"/>
          <w:color w:val="auto"/>
          <w:sz w:val="24"/>
          <w:szCs w:val="24"/>
          <w:highlight w:val="none"/>
          <w:u w:val="single"/>
          <w:lang w:val="en-US" w:eastAsia="zh-CN"/>
        </w:rPr>
        <w:t xml:space="preserve">                     </w:t>
      </w:r>
    </w:p>
    <w:p w14:paraId="54667CC4">
      <w:pPr>
        <w:shd w:val="clear"/>
        <w:spacing w:line="360" w:lineRule="auto"/>
        <w:ind w:left="840" w:hanging="720" w:hangingChars="300"/>
        <w:jc w:val="left"/>
        <w:rPr>
          <w:rFonts w:ascii="宋体" w:hAnsi="宋体" w:cs="宋体"/>
          <w:color w:val="auto"/>
          <w:sz w:val="24"/>
          <w:szCs w:val="24"/>
          <w:highlight w:val="none"/>
        </w:rPr>
      </w:pPr>
      <w:r>
        <w:rPr>
          <w:rFonts w:hint="eastAsia" w:ascii="宋体" w:hAnsi="宋体" w:cs="宋体"/>
          <w:color w:val="auto"/>
          <w:sz w:val="24"/>
          <w:szCs w:val="24"/>
          <w:highlight w:val="none"/>
          <w:u w:val="none"/>
        </w:rPr>
        <w:t>地址：</w:t>
      </w:r>
      <w:r>
        <w:rPr>
          <w:rFonts w:hint="eastAsia" w:ascii="宋体" w:hAnsi="宋体" w:cs="宋体"/>
          <w:color w:val="auto"/>
          <w:sz w:val="24"/>
          <w:szCs w:val="24"/>
          <w:highlight w:val="none"/>
          <w:u w:val="single"/>
          <w:lang w:val="en-US" w:eastAsia="zh-CN"/>
        </w:rPr>
        <w:t xml:space="preserve">                           </w:t>
      </w:r>
      <w:r>
        <w:rPr>
          <w:rFonts w:ascii="宋体" w:hAnsi="宋体" w:cs="宋体"/>
          <w:color w:val="auto"/>
          <w:sz w:val="24"/>
          <w:szCs w:val="24"/>
          <w:highlight w:val="none"/>
        </w:rPr>
        <w:t xml:space="preserve">              </w:t>
      </w:r>
    </w:p>
    <w:p w14:paraId="7E49C7CD">
      <w:pPr>
        <w:shd w:val="clear"/>
        <w:spacing w:line="360" w:lineRule="auto"/>
        <w:jc w:val="left"/>
        <w:rPr>
          <w:rFonts w:ascii="宋体" w:hAnsi="宋体"/>
          <w:color w:val="auto"/>
          <w:sz w:val="24"/>
          <w:szCs w:val="24"/>
          <w:highlight w:val="none"/>
        </w:rPr>
      </w:pPr>
      <w:r>
        <w:rPr>
          <w:rFonts w:hint="eastAsia" w:ascii="宋体" w:hAnsi="宋体" w:cs="宋体"/>
          <w:color w:val="auto"/>
          <w:sz w:val="24"/>
          <w:szCs w:val="24"/>
          <w:highlight w:val="none"/>
          <w:u w:val="none"/>
        </w:rPr>
        <w:t>电话：</w:t>
      </w:r>
      <w:r>
        <w:rPr>
          <w:rFonts w:hint="eastAsia" w:ascii="宋体" w:hAnsi="宋体" w:cs="宋体"/>
          <w:color w:val="auto"/>
          <w:sz w:val="24"/>
          <w:szCs w:val="24"/>
          <w:highlight w:val="none"/>
          <w:u w:val="single"/>
          <w:lang w:val="en-US" w:eastAsia="zh-CN"/>
        </w:rPr>
        <w:t xml:space="preserve">                            </w:t>
      </w:r>
      <w:r>
        <w:rPr>
          <w:rFonts w:ascii="宋体" w:hAnsi="宋体" w:cs="宋体"/>
          <w:color w:val="auto"/>
          <w:sz w:val="24"/>
          <w:szCs w:val="24"/>
          <w:highlight w:val="none"/>
        </w:rPr>
        <w:t xml:space="preserve"> </w:t>
      </w:r>
      <w:r>
        <w:rPr>
          <w:rFonts w:hint="eastAsia" w:ascii="宋体" w:hAnsi="宋体"/>
          <w:color w:val="auto"/>
          <w:sz w:val="24"/>
          <w:szCs w:val="24"/>
          <w:highlight w:val="none"/>
        </w:rPr>
        <w:t xml:space="preserve">                     </w:t>
      </w:r>
    </w:p>
    <w:p w14:paraId="39EC4EDB">
      <w:pPr>
        <w:keepNext w:val="0"/>
        <w:keepLines w:val="0"/>
        <w:pageBreakBefore w:val="0"/>
        <w:widowControl w:val="0"/>
        <w:shd w:val="clear"/>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依照《中华人民共和国政府采购法》及实施条例、《中华人民共和国民法典》等法律、行政法规，遵循平等、自愿、公平和诚实信用的原则，双方就下述项目范围与相关服务事项协商一致，订立本合同。</w:t>
      </w:r>
    </w:p>
    <w:p w14:paraId="50278F56">
      <w:pPr>
        <w:numPr>
          <w:ilvl w:val="0"/>
          <w:numId w:val="2"/>
        </w:numPr>
        <w:shd w:val="clear"/>
        <w:spacing w:line="360" w:lineRule="auto"/>
        <w:rPr>
          <w:rFonts w:cs="宋体"/>
          <w:b/>
          <w:color w:val="auto"/>
          <w:sz w:val="24"/>
          <w:szCs w:val="24"/>
          <w:highlight w:val="none"/>
        </w:rPr>
      </w:pPr>
      <w:r>
        <w:rPr>
          <w:rFonts w:hint="eastAsia" w:cs="宋体"/>
          <w:b/>
          <w:color w:val="auto"/>
          <w:sz w:val="24"/>
          <w:szCs w:val="24"/>
          <w:highlight w:val="none"/>
        </w:rPr>
        <w:t>出租房屋的位置、面积、租金、用途</w:t>
      </w:r>
    </w:p>
    <w:p w14:paraId="25C450F2">
      <w:pPr>
        <w:numPr>
          <w:ilvl w:val="0"/>
          <w:numId w:val="0"/>
        </w:numPr>
        <w:shd w:val="clear"/>
        <w:tabs>
          <w:tab w:val="left" w:pos="4500"/>
        </w:tabs>
        <w:spacing w:line="360" w:lineRule="auto"/>
        <w:ind w:firstLine="480" w:firstLineChars="200"/>
        <w:rPr>
          <w:rFonts w:asciiTheme="minorEastAsia" w:hAnsiTheme="minorEastAsia" w:eastAsiaTheme="minorEastAsia"/>
          <w:color w:val="auto"/>
          <w:sz w:val="24"/>
          <w:szCs w:val="24"/>
          <w:highlight w:val="none"/>
        </w:rPr>
      </w:pPr>
      <w:r>
        <w:rPr>
          <w:rFonts w:asciiTheme="minorEastAsia" w:hAnsiTheme="minorEastAsia" w:eastAsiaTheme="minorEastAsia" w:cstheme="minorBidi"/>
          <w:color w:val="auto"/>
          <w:kern w:val="2"/>
          <w:sz w:val="24"/>
          <w:szCs w:val="24"/>
          <w:highlight w:val="none"/>
          <w:lang w:val="en-US" w:eastAsia="zh-CN" w:bidi="ar-SA"/>
        </w:rPr>
        <w:t>1</w:t>
      </w:r>
      <w:r>
        <w:rPr>
          <w:rFonts w:hint="eastAsia" w:asciiTheme="minorEastAsia" w:hAnsiTheme="minorEastAsia" w:cstheme="minorBidi"/>
          <w:color w:val="auto"/>
          <w:kern w:val="2"/>
          <w:sz w:val="24"/>
          <w:szCs w:val="24"/>
          <w:highlight w:val="none"/>
          <w:lang w:val="en-US" w:eastAsia="zh-CN" w:bidi="ar-SA"/>
        </w:rPr>
        <w:t>.</w:t>
      </w:r>
      <w:r>
        <w:rPr>
          <w:rFonts w:hint="eastAsia" w:asciiTheme="minorEastAsia" w:hAnsiTheme="minorEastAsia" w:eastAsiaTheme="minorEastAsia"/>
          <w:color w:val="auto"/>
          <w:sz w:val="24"/>
          <w:szCs w:val="24"/>
          <w:highlight w:val="none"/>
        </w:rPr>
        <w:t>位置：</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rPr>
        <w:t>。</w:t>
      </w:r>
    </w:p>
    <w:p w14:paraId="73FD164B">
      <w:pPr>
        <w:numPr>
          <w:ilvl w:val="0"/>
          <w:numId w:val="0"/>
        </w:numPr>
        <w:shd w:val="clear"/>
        <w:tabs>
          <w:tab w:val="left" w:pos="4500"/>
        </w:tabs>
        <w:spacing w:line="360" w:lineRule="auto"/>
        <w:ind w:firstLine="480" w:firstLineChars="200"/>
        <w:rPr>
          <w:rFonts w:asciiTheme="minorEastAsia" w:hAnsiTheme="minorEastAsia" w:eastAsiaTheme="minorEastAsia"/>
          <w:color w:val="auto"/>
          <w:sz w:val="24"/>
          <w:szCs w:val="24"/>
          <w:highlight w:val="none"/>
        </w:rPr>
      </w:pPr>
      <w:r>
        <w:rPr>
          <w:rFonts w:asciiTheme="minorEastAsia" w:hAnsiTheme="minorEastAsia" w:eastAsiaTheme="minorEastAsia" w:cstheme="minorBidi"/>
          <w:color w:val="auto"/>
          <w:kern w:val="2"/>
          <w:sz w:val="24"/>
          <w:szCs w:val="24"/>
          <w:highlight w:val="none"/>
          <w:lang w:val="en-US" w:eastAsia="zh-CN" w:bidi="ar-SA"/>
        </w:rPr>
        <w:t>2</w:t>
      </w:r>
      <w:r>
        <w:rPr>
          <w:rFonts w:hint="eastAsia" w:asciiTheme="minorEastAsia" w:hAnsiTheme="minorEastAsia" w:cstheme="minorBidi"/>
          <w:color w:val="auto"/>
          <w:kern w:val="2"/>
          <w:sz w:val="24"/>
          <w:szCs w:val="24"/>
          <w:highlight w:val="none"/>
          <w:lang w:val="en-US" w:eastAsia="zh-CN" w:bidi="ar-SA"/>
        </w:rPr>
        <w:t>.</w:t>
      </w:r>
      <w:r>
        <w:rPr>
          <w:rFonts w:hint="eastAsia" w:asciiTheme="minorEastAsia" w:hAnsiTheme="minorEastAsia" w:eastAsiaTheme="minorEastAsia"/>
          <w:color w:val="auto"/>
          <w:sz w:val="24"/>
          <w:szCs w:val="24"/>
          <w:highlight w:val="none"/>
        </w:rPr>
        <w:t>办公楼面积、租金</w:t>
      </w:r>
    </w:p>
    <w:tbl>
      <w:tblPr>
        <w:tblStyle w:val="10"/>
        <w:tblpPr w:leftFromText="180" w:rightFromText="180" w:vertAnchor="text" w:horzAnchor="page" w:tblpX="1559" w:tblpY="46"/>
        <w:tblOverlap w:val="never"/>
        <w:tblW w:w="8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2157"/>
        <w:gridCol w:w="2280"/>
        <w:gridCol w:w="2130"/>
      </w:tblGrid>
      <w:tr w14:paraId="35574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3" w:type="dxa"/>
            <w:vAlign w:val="center"/>
          </w:tcPr>
          <w:p w14:paraId="2348FDA4">
            <w:pPr>
              <w:shd w:val="clea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房号</w:t>
            </w:r>
          </w:p>
        </w:tc>
        <w:tc>
          <w:tcPr>
            <w:tcW w:w="2157" w:type="dxa"/>
            <w:vAlign w:val="center"/>
          </w:tcPr>
          <w:p w14:paraId="41190792">
            <w:pPr>
              <w:shd w:val="clea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承租面积</w:t>
            </w:r>
          </w:p>
          <w:p w14:paraId="3FE2F69E">
            <w:pPr>
              <w:shd w:val="clea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2280" w:type="dxa"/>
            <w:vAlign w:val="center"/>
          </w:tcPr>
          <w:p w14:paraId="00FB40A3">
            <w:pPr>
              <w:shd w:val="clear"/>
              <w:spacing w:line="360" w:lineRule="auto"/>
              <w:ind w:left="-96" w:leftChars="-40" w:right="-122" w:rightChars="-51"/>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房屋租金</w:t>
            </w:r>
          </w:p>
          <w:p w14:paraId="3341D61A">
            <w:pPr>
              <w:shd w:val="clear"/>
              <w:spacing w:line="360" w:lineRule="auto"/>
              <w:ind w:left="-96" w:leftChars="-40" w:right="-122" w:rightChars="-51"/>
              <w:jc w:val="center"/>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元</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Theme="minorEastAsia" w:hAnsiTheme="minorEastAsia" w:eastAsiaTheme="minorEastAsia"/>
                <w:color w:val="auto"/>
                <w:sz w:val="24"/>
                <w:szCs w:val="24"/>
                <w:highlight w:val="none"/>
              </w:rPr>
              <w:t>月</w:t>
            </w:r>
            <w:r>
              <w:rPr>
                <w:rFonts w:asciiTheme="minorEastAsia" w:hAnsiTheme="minorEastAsia" w:eastAsiaTheme="minorEastAsia"/>
                <w:color w:val="auto"/>
                <w:sz w:val="24"/>
                <w:szCs w:val="24"/>
                <w:highlight w:val="none"/>
              </w:rPr>
              <w:t>)</w:t>
            </w:r>
          </w:p>
        </w:tc>
        <w:tc>
          <w:tcPr>
            <w:tcW w:w="2130" w:type="dxa"/>
            <w:vAlign w:val="center"/>
          </w:tcPr>
          <w:p w14:paraId="3C1F136A">
            <w:pPr>
              <w:shd w:val="clear"/>
              <w:spacing w:line="360" w:lineRule="auto"/>
              <w:jc w:val="center"/>
              <w:rPr>
                <w:rFonts w:hint="default" w:asciiTheme="minorEastAsia" w:hAnsiTheme="minorEastAsia" w:eastAsiaTheme="minorEastAsia"/>
                <w:color w:val="auto"/>
                <w:sz w:val="24"/>
                <w:szCs w:val="24"/>
                <w:highlight w:val="none"/>
                <w:lang w:val="en-US" w:eastAsia="zh-CN"/>
              </w:rPr>
            </w:pPr>
            <w:r>
              <w:rPr>
                <w:rFonts w:hint="eastAsia" w:asciiTheme="minorEastAsia" w:hAnsiTheme="minorEastAsia"/>
                <w:color w:val="auto"/>
                <w:sz w:val="24"/>
                <w:szCs w:val="24"/>
                <w:highlight w:val="none"/>
                <w:lang w:val="en-US" w:eastAsia="zh-CN"/>
              </w:rPr>
              <w:t>年租金合计（元）</w:t>
            </w:r>
          </w:p>
        </w:tc>
      </w:tr>
      <w:tr w14:paraId="02252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73" w:type="dxa"/>
            <w:vAlign w:val="center"/>
          </w:tcPr>
          <w:p w14:paraId="520DC4F1">
            <w:pPr>
              <w:shd w:val="clear"/>
              <w:tabs>
                <w:tab w:val="left" w:pos="4500"/>
              </w:tabs>
              <w:spacing w:line="360" w:lineRule="auto"/>
              <w:ind w:firstLine="360" w:firstLineChars="150"/>
              <w:rPr>
                <w:rFonts w:asciiTheme="minorEastAsia" w:hAnsiTheme="minorEastAsia" w:eastAsiaTheme="minorEastAsia"/>
                <w:color w:val="auto"/>
                <w:sz w:val="24"/>
                <w:szCs w:val="24"/>
                <w:highlight w:val="none"/>
              </w:rPr>
            </w:pPr>
          </w:p>
        </w:tc>
        <w:tc>
          <w:tcPr>
            <w:tcW w:w="2157" w:type="dxa"/>
            <w:vAlign w:val="center"/>
          </w:tcPr>
          <w:p w14:paraId="139F51C2">
            <w:pPr>
              <w:shd w:val="clear"/>
              <w:spacing w:line="360" w:lineRule="auto"/>
              <w:jc w:val="center"/>
              <w:rPr>
                <w:rFonts w:asciiTheme="minorEastAsia" w:hAnsiTheme="minorEastAsia" w:eastAsiaTheme="minorEastAsia"/>
                <w:iCs/>
                <w:color w:val="auto"/>
                <w:sz w:val="24"/>
                <w:szCs w:val="24"/>
                <w:highlight w:val="none"/>
              </w:rPr>
            </w:pPr>
          </w:p>
        </w:tc>
        <w:tc>
          <w:tcPr>
            <w:tcW w:w="2280" w:type="dxa"/>
            <w:vAlign w:val="center"/>
          </w:tcPr>
          <w:p w14:paraId="3FD24873">
            <w:pPr>
              <w:shd w:val="clear"/>
              <w:spacing w:line="360" w:lineRule="auto"/>
              <w:jc w:val="center"/>
              <w:rPr>
                <w:rFonts w:asciiTheme="minorEastAsia" w:hAnsiTheme="minorEastAsia" w:eastAsiaTheme="minorEastAsia"/>
                <w:iCs/>
                <w:color w:val="auto"/>
                <w:sz w:val="24"/>
                <w:szCs w:val="24"/>
                <w:highlight w:val="none"/>
              </w:rPr>
            </w:pPr>
          </w:p>
        </w:tc>
        <w:tc>
          <w:tcPr>
            <w:tcW w:w="2130" w:type="dxa"/>
            <w:vAlign w:val="center"/>
          </w:tcPr>
          <w:p w14:paraId="1CE55F46">
            <w:pPr>
              <w:shd w:val="clear"/>
              <w:spacing w:line="360" w:lineRule="auto"/>
              <w:jc w:val="center"/>
              <w:rPr>
                <w:rFonts w:asciiTheme="minorEastAsia" w:hAnsiTheme="minorEastAsia" w:eastAsiaTheme="minorEastAsia"/>
                <w:iCs/>
                <w:color w:val="auto"/>
                <w:sz w:val="24"/>
                <w:szCs w:val="24"/>
                <w:highlight w:val="none"/>
              </w:rPr>
            </w:pPr>
          </w:p>
        </w:tc>
      </w:tr>
    </w:tbl>
    <w:p w14:paraId="562E3EEF">
      <w:pPr>
        <w:shd w:val="clear"/>
        <w:tabs>
          <w:tab w:val="left" w:pos="450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租金总金额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元，（大写:人民币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其中：不含税租金</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元，税额为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rPr>
        <w:t>。</w:t>
      </w:r>
    </w:p>
    <w:p w14:paraId="137A34D5">
      <w:pPr>
        <w:shd w:val="clear"/>
        <w:spacing w:line="360" w:lineRule="auto"/>
        <w:ind w:left="540"/>
        <w:rPr>
          <w:rFonts w:ascii="宋体" w:hAnsi="宋体" w:cs="宋体"/>
          <w:b/>
          <w:color w:val="auto"/>
          <w:sz w:val="24"/>
          <w:szCs w:val="24"/>
          <w:highlight w:val="none"/>
        </w:rPr>
      </w:pPr>
      <w:r>
        <w:rPr>
          <w:rFonts w:hint="eastAsia" w:ascii="宋体" w:hAnsi="宋体" w:cs="宋体"/>
          <w:b/>
          <w:color w:val="auto"/>
          <w:sz w:val="24"/>
          <w:szCs w:val="24"/>
          <w:highlight w:val="none"/>
        </w:rPr>
        <w:t>第二条 租赁期限</w:t>
      </w:r>
    </w:p>
    <w:p w14:paraId="4257AB01">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u w:val="single"/>
          <w:lang w:val="en-US" w:eastAsia="zh-CN"/>
        </w:rPr>
        <w:t>1</w:t>
      </w:r>
      <w:r>
        <w:rPr>
          <w:rFonts w:hint="eastAsia"/>
          <w:color w:val="auto"/>
          <w:sz w:val="24"/>
          <w:szCs w:val="24"/>
          <w:highlight w:val="none"/>
          <w:lang w:val="en-US" w:eastAsia="zh-CN"/>
        </w:rPr>
        <w:t>年，</w:t>
      </w:r>
      <w:r>
        <w:rPr>
          <w:rFonts w:hint="eastAsia"/>
          <w:color w:val="auto"/>
          <w:sz w:val="24"/>
          <w:szCs w:val="24"/>
          <w:highlight w:val="none"/>
        </w:rPr>
        <w:t>共</w:t>
      </w:r>
      <w:r>
        <w:rPr>
          <w:rFonts w:hint="eastAsia"/>
          <w:color w:val="auto"/>
          <w:sz w:val="24"/>
          <w:szCs w:val="24"/>
          <w:highlight w:val="none"/>
          <w:u w:val="single"/>
          <w:lang w:val="en-US" w:eastAsia="zh-CN"/>
        </w:rPr>
        <w:t>12</w:t>
      </w:r>
      <w:r>
        <w:rPr>
          <w:rFonts w:hint="eastAsia"/>
          <w:color w:val="auto"/>
          <w:sz w:val="24"/>
          <w:szCs w:val="24"/>
          <w:highlight w:val="none"/>
          <w:lang w:val="en-US" w:eastAsia="zh-CN"/>
        </w:rPr>
        <w:t>个月</w:t>
      </w:r>
      <w:r>
        <w:rPr>
          <w:rFonts w:hint="eastAsia"/>
          <w:color w:val="auto"/>
          <w:sz w:val="24"/>
          <w:szCs w:val="24"/>
          <w:highlight w:val="none"/>
        </w:rPr>
        <w:t>，自</w:t>
      </w:r>
      <w:r>
        <w:rPr>
          <w:rFonts w:hint="eastAsia"/>
          <w:color w:val="auto"/>
          <w:sz w:val="24"/>
          <w:szCs w:val="24"/>
          <w:highlight w:val="none"/>
          <w:u w:val="single"/>
        </w:rPr>
        <w:t xml:space="preserve">    </w:t>
      </w:r>
      <w:r>
        <w:rPr>
          <w:rFonts w:hint="eastAsia"/>
          <w:color w:val="auto"/>
          <w:sz w:val="24"/>
          <w:szCs w:val="24"/>
          <w:highlight w:val="none"/>
        </w:rPr>
        <w:t>年</w:t>
      </w:r>
      <w:r>
        <w:rPr>
          <w:rFonts w:hint="eastAsia"/>
          <w:color w:val="auto"/>
          <w:sz w:val="24"/>
          <w:szCs w:val="24"/>
          <w:highlight w:val="none"/>
          <w:u w:val="single"/>
        </w:rPr>
        <w:t xml:space="preserve">    </w:t>
      </w:r>
      <w:r>
        <w:rPr>
          <w:rFonts w:hint="eastAsia"/>
          <w:color w:val="auto"/>
          <w:sz w:val="24"/>
          <w:szCs w:val="24"/>
          <w:highlight w:val="none"/>
        </w:rPr>
        <w:t>月</w:t>
      </w:r>
      <w:r>
        <w:rPr>
          <w:rFonts w:hint="eastAsia"/>
          <w:color w:val="auto"/>
          <w:sz w:val="24"/>
          <w:szCs w:val="24"/>
          <w:highlight w:val="none"/>
          <w:u w:val="single"/>
        </w:rPr>
        <w:t xml:space="preserve">    </w:t>
      </w:r>
      <w:r>
        <w:rPr>
          <w:rFonts w:hint="eastAsia"/>
          <w:color w:val="auto"/>
          <w:sz w:val="24"/>
          <w:szCs w:val="24"/>
          <w:highlight w:val="none"/>
        </w:rPr>
        <w:t>日起至</w:t>
      </w:r>
      <w:r>
        <w:rPr>
          <w:rFonts w:hint="eastAsia"/>
          <w:color w:val="auto"/>
          <w:sz w:val="24"/>
          <w:szCs w:val="24"/>
          <w:highlight w:val="none"/>
          <w:u w:val="single"/>
        </w:rPr>
        <w:t xml:space="preserve">    </w:t>
      </w:r>
      <w:r>
        <w:rPr>
          <w:rFonts w:hint="eastAsia"/>
          <w:color w:val="auto"/>
          <w:sz w:val="24"/>
          <w:szCs w:val="24"/>
          <w:highlight w:val="none"/>
        </w:rPr>
        <w:t>年</w:t>
      </w:r>
      <w:r>
        <w:rPr>
          <w:rFonts w:hint="eastAsia"/>
          <w:color w:val="auto"/>
          <w:sz w:val="24"/>
          <w:szCs w:val="24"/>
          <w:highlight w:val="none"/>
          <w:u w:val="single"/>
        </w:rPr>
        <w:t xml:space="preserve">    </w:t>
      </w:r>
      <w:r>
        <w:rPr>
          <w:rFonts w:hint="eastAsia"/>
          <w:color w:val="auto"/>
          <w:sz w:val="24"/>
          <w:szCs w:val="24"/>
          <w:highlight w:val="none"/>
        </w:rPr>
        <w:t>月</w:t>
      </w:r>
      <w:r>
        <w:rPr>
          <w:rFonts w:hint="eastAsia"/>
          <w:color w:val="auto"/>
          <w:sz w:val="24"/>
          <w:szCs w:val="24"/>
          <w:highlight w:val="none"/>
          <w:u w:val="single"/>
        </w:rPr>
        <w:t xml:space="preserve">    </w:t>
      </w:r>
      <w:r>
        <w:rPr>
          <w:rFonts w:hint="eastAsia"/>
          <w:color w:val="auto"/>
          <w:sz w:val="24"/>
          <w:szCs w:val="24"/>
          <w:highlight w:val="none"/>
        </w:rPr>
        <w:t>日止。甲方应在本合同签署之日起，将房屋交付乙方。</w:t>
      </w:r>
    </w:p>
    <w:p w14:paraId="411AA5D5">
      <w:pPr>
        <w:shd w:val="clear"/>
        <w:spacing w:line="360" w:lineRule="auto"/>
        <w:ind w:firstLine="482" w:firstLineChars="200"/>
        <w:rPr>
          <w:rFonts w:cs="宋体"/>
          <w:color w:val="auto"/>
          <w:sz w:val="24"/>
          <w:szCs w:val="24"/>
          <w:highlight w:val="none"/>
        </w:rPr>
      </w:pPr>
      <w:r>
        <w:rPr>
          <w:rFonts w:hint="eastAsia" w:cs="宋体"/>
          <w:b/>
          <w:color w:val="auto"/>
          <w:sz w:val="24"/>
          <w:szCs w:val="24"/>
          <w:highlight w:val="none"/>
        </w:rPr>
        <w:t>第三条</w:t>
      </w:r>
      <w:r>
        <w:rPr>
          <w:rFonts w:hint="eastAsia" w:cs="宋体"/>
          <w:color w:val="auto"/>
          <w:sz w:val="24"/>
          <w:szCs w:val="24"/>
          <w:highlight w:val="none"/>
        </w:rPr>
        <w:t xml:space="preserve"> </w:t>
      </w:r>
      <w:r>
        <w:rPr>
          <w:rFonts w:hint="eastAsia" w:cs="宋体"/>
          <w:b/>
          <w:color w:val="auto"/>
          <w:sz w:val="24"/>
          <w:szCs w:val="24"/>
          <w:highlight w:val="none"/>
        </w:rPr>
        <w:t>租金和其他费用</w:t>
      </w:r>
    </w:p>
    <w:p w14:paraId="4A570CB3">
      <w:pPr>
        <w:shd w:val="clea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租金</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元（大写：人民币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0BA2872">
      <w:pPr>
        <w:shd w:val="clea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2、租金仅为房屋的占用、使用费、税费，不含物业管理费用、电费、水费、暖气费、停车费、电话费、有线电视费、宽带使用费等其他费用。</w:t>
      </w:r>
    </w:p>
    <w:p w14:paraId="7F53BB4F">
      <w:pPr>
        <w:shd w:val="clear"/>
        <w:tabs>
          <w:tab w:val="left" w:pos="4500"/>
        </w:tabs>
        <w:spacing w:line="360" w:lineRule="auto"/>
        <w:ind w:firstLine="480" w:firstLineChars="200"/>
        <w:rPr>
          <w:rFonts w:hint="eastAsia"/>
          <w:color w:val="auto"/>
          <w:sz w:val="24"/>
          <w:szCs w:val="24"/>
          <w:highlight w:val="none"/>
        </w:rPr>
      </w:pPr>
      <w:r>
        <w:rPr>
          <w:rFonts w:hint="eastAsia" w:ascii="宋体" w:hAnsi="宋体" w:cs="宋体"/>
          <w:color w:val="auto"/>
          <w:sz w:val="24"/>
          <w:szCs w:val="24"/>
          <w:highlight w:val="none"/>
        </w:rPr>
        <w:t>3、</w:t>
      </w:r>
      <w:r>
        <w:rPr>
          <w:rFonts w:hint="eastAsia"/>
          <w:color w:val="auto"/>
          <w:sz w:val="24"/>
          <w:szCs w:val="24"/>
          <w:highlight w:val="none"/>
        </w:rPr>
        <w:t>除以上房屋租赁费、物业管理费、水费、电费、取暖费、空调费外的其他费用依照物业公司有关规定据实结算，由乙方直接向物业公司交纳。</w:t>
      </w:r>
    </w:p>
    <w:p w14:paraId="16CEF0DF">
      <w:pPr>
        <w:shd w:val="clear"/>
        <w:spacing w:line="360" w:lineRule="auto"/>
        <w:ind w:firstLine="435"/>
        <w:rPr>
          <w:rFonts w:ascii="宋体" w:hAnsi="宋体" w:cs="宋体"/>
          <w:b/>
          <w:color w:val="auto"/>
          <w:sz w:val="24"/>
          <w:szCs w:val="24"/>
          <w:highlight w:val="none"/>
        </w:rPr>
      </w:pPr>
      <w:r>
        <w:rPr>
          <w:rFonts w:hint="eastAsia" w:ascii="宋体" w:hAnsi="宋体" w:cs="宋体"/>
          <w:b/>
          <w:color w:val="auto"/>
          <w:sz w:val="24"/>
          <w:szCs w:val="24"/>
          <w:highlight w:val="none"/>
        </w:rPr>
        <w:t>第</w:t>
      </w: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 xml:space="preserve">条 </w:t>
      </w:r>
      <w:r>
        <w:rPr>
          <w:rFonts w:hint="eastAsia" w:ascii="宋体" w:hAnsi="宋体" w:cs="宋体"/>
          <w:b/>
          <w:bCs/>
          <w:color w:val="auto"/>
          <w:sz w:val="24"/>
          <w:szCs w:val="24"/>
          <w:highlight w:val="none"/>
        </w:rPr>
        <w:t>支付方式</w:t>
      </w:r>
    </w:p>
    <w:p w14:paraId="63EA751C">
      <w:pPr>
        <w:shd w:val="clea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1、乙方可以按照下列之一方式支付房租：</w:t>
      </w:r>
    </w:p>
    <w:p w14:paraId="74A475E4">
      <w:pPr>
        <w:shd w:val="clea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sym w:font="Wingdings 2" w:char="0052"/>
      </w:r>
      <w:r>
        <w:rPr>
          <w:rFonts w:hint="eastAsia" w:ascii="宋体" w:hAnsi="宋体" w:cs="宋体"/>
          <w:color w:val="auto"/>
          <w:sz w:val="24"/>
          <w:szCs w:val="24"/>
          <w:highlight w:val="none"/>
        </w:rPr>
        <w:t>转账；□支票</w:t>
      </w:r>
    </w:p>
    <w:p w14:paraId="544A7AD0">
      <w:pPr>
        <w:shd w:val="clea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2、甲方指定的收款帐户为：</w:t>
      </w:r>
    </w:p>
    <w:p w14:paraId="404EF165">
      <w:pPr>
        <w:shd w:val="clear"/>
        <w:tabs>
          <w:tab w:val="left" w:pos="4500"/>
        </w:tabs>
        <w:spacing w:line="360" w:lineRule="auto"/>
        <w:ind w:firstLine="472" w:firstLineChars="197"/>
        <w:rPr>
          <w:rFonts w:hint="eastAsia"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rPr>
        <w:t>账户名称：</w:t>
      </w:r>
      <w:r>
        <w:rPr>
          <w:rFonts w:hint="eastAsia" w:asciiTheme="minorEastAsia" w:hAnsiTheme="minorEastAsia"/>
          <w:color w:val="auto"/>
          <w:sz w:val="24"/>
          <w:szCs w:val="24"/>
          <w:highlight w:val="none"/>
          <w:lang w:val="en-US" w:eastAsia="zh-CN"/>
        </w:rPr>
        <w:t xml:space="preserve"> </w:t>
      </w:r>
    </w:p>
    <w:p w14:paraId="3FD86A4E">
      <w:pPr>
        <w:shd w:val="clear"/>
        <w:tabs>
          <w:tab w:val="left" w:pos="4500"/>
        </w:tabs>
        <w:spacing w:line="360" w:lineRule="auto"/>
        <w:ind w:firstLine="472" w:firstLineChars="197"/>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开 户 行：</w:t>
      </w:r>
      <w:r>
        <w:rPr>
          <w:rFonts w:hint="eastAsia" w:asciiTheme="minorEastAsia" w:hAnsiTheme="minorEastAsia"/>
          <w:color w:val="auto"/>
          <w:sz w:val="24"/>
          <w:szCs w:val="24"/>
          <w:highlight w:val="none"/>
          <w:lang w:val="en-US" w:eastAsia="zh-CN"/>
        </w:rPr>
        <w:t xml:space="preserve"> </w:t>
      </w:r>
    </w:p>
    <w:p w14:paraId="0AE3493B">
      <w:pPr>
        <w:shd w:val="clear"/>
        <w:tabs>
          <w:tab w:val="left" w:pos="4500"/>
        </w:tabs>
        <w:spacing w:line="360" w:lineRule="auto"/>
        <w:ind w:firstLine="472" w:firstLineChars="197"/>
        <w:rPr>
          <w:rFonts w:hint="eastAsia"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rPr>
        <w:t>账  号：</w:t>
      </w:r>
      <w:r>
        <w:rPr>
          <w:rFonts w:hint="eastAsia" w:asciiTheme="minorEastAsia" w:hAnsiTheme="minorEastAsia"/>
          <w:color w:val="auto"/>
          <w:sz w:val="24"/>
          <w:szCs w:val="24"/>
          <w:highlight w:val="none"/>
          <w:lang w:val="en-US" w:eastAsia="zh-CN"/>
        </w:rPr>
        <w:t xml:space="preserve"> </w:t>
      </w:r>
    </w:p>
    <w:p w14:paraId="7D152408">
      <w:pPr>
        <w:shd w:val="clear"/>
        <w:tabs>
          <w:tab w:val="left" w:pos="4500"/>
        </w:tabs>
        <w:spacing w:line="360" w:lineRule="auto"/>
        <w:ind w:firstLine="475" w:firstLineChars="197"/>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第</w:t>
      </w:r>
      <w:r>
        <w:rPr>
          <w:rFonts w:hint="eastAsia" w:asciiTheme="minorEastAsia" w:hAnsiTheme="minorEastAsia"/>
          <w:b/>
          <w:color w:val="auto"/>
          <w:sz w:val="24"/>
          <w:szCs w:val="24"/>
          <w:highlight w:val="none"/>
          <w:lang w:val="en-US" w:eastAsia="zh-CN"/>
        </w:rPr>
        <w:t>五</w:t>
      </w:r>
      <w:r>
        <w:rPr>
          <w:rFonts w:hint="eastAsia" w:asciiTheme="minorEastAsia" w:hAnsiTheme="minorEastAsia" w:eastAsiaTheme="minorEastAsia"/>
          <w:b/>
          <w:color w:val="auto"/>
          <w:sz w:val="24"/>
          <w:szCs w:val="24"/>
          <w:highlight w:val="none"/>
        </w:rPr>
        <w:t>条 财产维护</w:t>
      </w:r>
    </w:p>
    <w:p w14:paraId="2500CBE1">
      <w:pPr>
        <w:shd w:val="clear"/>
        <w:tabs>
          <w:tab w:val="left" w:pos="4500"/>
        </w:tabs>
        <w:spacing w:line="360" w:lineRule="auto"/>
        <w:ind w:firstLine="472" w:firstLineChars="197"/>
        <w:rPr>
          <w:rFonts w:hint="eastAsia"/>
          <w:color w:val="auto"/>
          <w:sz w:val="24"/>
          <w:szCs w:val="24"/>
          <w:highlight w:val="none"/>
        </w:rPr>
      </w:pPr>
      <w:r>
        <w:rPr>
          <w:rFonts w:hint="eastAsia"/>
          <w:color w:val="auto"/>
          <w:sz w:val="24"/>
          <w:szCs w:val="24"/>
          <w:highlight w:val="none"/>
        </w:rPr>
        <w:t xml:space="preserve">租赁期间，甲方应对包括房屋屋顶、房屋外墙、房屋结构基础及房屋取暖（冷）设施、网络、电路、上下水的布线管道及其公共部分附属设施负责维修；并对房屋及其附着设施进行定期或不定期检查，发现问题及时修缮。乙方入驻办公楼时，确认以上设施设备对乙方使用房屋未产生不利影响，如承租期间发现相关设施设备有安全隐患时，需要立即停止使用并告知甲方进行维修；因乙方未及时告知甲方而引发的不利后果应由乙方承担；如因乙方原因造成房屋内任何设施设备受损，则相关维修、维护及更换费用以及因此造成的各项损失均由乙方承担。 </w:t>
      </w:r>
    </w:p>
    <w:p w14:paraId="3E722D2D">
      <w:pPr>
        <w:shd w:val="clear"/>
        <w:tabs>
          <w:tab w:val="left" w:pos="4500"/>
        </w:tabs>
        <w:spacing w:line="360" w:lineRule="auto"/>
        <w:ind w:firstLine="472" w:firstLineChars="197"/>
        <w:rPr>
          <w:rFonts w:asciiTheme="minorEastAsia" w:hAnsiTheme="minorEastAsia" w:eastAsiaTheme="minorEastAsia"/>
          <w:color w:val="auto"/>
          <w:sz w:val="24"/>
          <w:szCs w:val="24"/>
          <w:highlight w:val="none"/>
        </w:rPr>
      </w:pPr>
      <w:r>
        <w:rPr>
          <w:rFonts w:hint="eastAsia"/>
          <w:color w:val="auto"/>
          <w:sz w:val="24"/>
          <w:szCs w:val="24"/>
          <w:highlight w:val="none"/>
        </w:rPr>
        <w:t>租赁期间，乙方应对出租房屋在使用中出现的损耗（包括但不限于全部固定装置、地板、墙壁、天花板、柱、门窗、水电等，损耗所包含的具体内容</w:t>
      </w:r>
      <w:r>
        <w:rPr>
          <w:rFonts w:hint="eastAsia"/>
          <w:color w:val="auto"/>
          <w:sz w:val="24"/>
          <w:szCs w:val="24"/>
          <w:highlight w:val="none"/>
          <w:lang w:val="en-US" w:eastAsia="zh-CN"/>
        </w:rPr>
        <w:t>以</w:t>
      </w:r>
      <w:r>
        <w:rPr>
          <w:rFonts w:hint="eastAsia"/>
          <w:color w:val="auto"/>
          <w:sz w:val="24"/>
          <w:szCs w:val="24"/>
          <w:highlight w:val="none"/>
        </w:rPr>
        <w:t>物业合同</w:t>
      </w:r>
      <w:r>
        <w:rPr>
          <w:rFonts w:hint="eastAsia"/>
          <w:color w:val="auto"/>
          <w:sz w:val="24"/>
          <w:szCs w:val="24"/>
          <w:highlight w:val="none"/>
          <w:lang w:val="en-US" w:eastAsia="zh-CN"/>
        </w:rPr>
        <w:t>为准及</w:t>
      </w:r>
      <w:r>
        <w:rPr>
          <w:rFonts w:hint="eastAsia"/>
          <w:color w:val="auto"/>
          <w:sz w:val="24"/>
          <w:szCs w:val="24"/>
          <w:highlight w:val="none"/>
        </w:rPr>
        <w:t>房屋移交清单）进行维修、日常维护和保管，产生费用由乙方承担。</w:t>
      </w:r>
      <w:r>
        <w:rPr>
          <w:rFonts w:hint="eastAsia" w:asciiTheme="minorEastAsia" w:hAnsiTheme="minorEastAsia" w:eastAsiaTheme="minorEastAsia"/>
          <w:color w:val="auto"/>
          <w:sz w:val="24"/>
          <w:szCs w:val="24"/>
          <w:highlight w:val="none"/>
        </w:rPr>
        <w:t xml:space="preserve"> </w:t>
      </w:r>
    </w:p>
    <w:p w14:paraId="69F3087E">
      <w:pPr>
        <w:shd w:val="clear"/>
        <w:tabs>
          <w:tab w:val="left" w:pos="4500"/>
        </w:tabs>
        <w:spacing w:line="360" w:lineRule="auto"/>
        <w:ind w:firstLine="475" w:firstLineChars="197"/>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第</w:t>
      </w:r>
      <w:r>
        <w:rPr>
          <w:rFonts w:hint="eastAsia" w:asciiTheme="minorEastAsia" w:hAnsiTheme="minorEastAsia"/>
          <w:b/>
          <w:color w:val="auto"/>
          <w:sz w:val="24"/>
          <w:szCs w:val="24"/>
          <w:highlight w:val="none"/>
          <w:lang w:val="en-US" w:eastAsia="zh-CN"/>
        </w:rPr>
        <w:t>六</w:t>
      </w:r>
      <w:r>
        <w:rPr>
          <w:rFonts w:hint="eastAsia" w:asciiTheme="minorEastAsia" w:hAnsiTheme="minorEastAsia" w:eastAsiaTheme="minorEastAsia"/>
          <w:b/>
          <w:color w:val="auto"/>
          <w:sz w:val="24"/>
          <w:szCs w:val="24"/>
          <w:highlight w:val="none"/>
        </w:rPr>
        <w:t>条 交付与装修</w:t>
      </w:r>
    </w:p>
    <w:p w14:paraId="3955F72A">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1、甲方向乙方提供的出租房屋，应保证乙方能够正常使用，如水、电、门、窗等。</w:t>
      </w:r>
    </w:p>
    <w:p w14:paraId="7F6FFD5B">
      <w:pPr>
        <w:shd w:val="clear"/>
        <w:tabs>
          <w:tab w:val="left" w:pos="4500"/>
        </w:tabs>
        <w:spacing w:line="360" w:lineRule="auto"/>
        <w:ind w:firstLine="472" w:firstLineChars="197"/>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、甲方在乙方入驻（</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u w:val="single"/>
          <w:lang w:val="en-US" w:eastAsia="zh-CN"/>
        </w:rPr>
        <w:t>/</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rPr>
        <w:t>年</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u w:val="single"/>
          <w:lang w:val="en-US" w:eastAsia="zh-CN"/>
        </w:rPr>
        <w:t>/</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rPr>
        <w:t>月</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u w:val="single"/>
          <w:lang w:val="en-US" w:eastAsia="zh-CN"/>
        </w:rPr>
        <w:t>/</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rPr>
        <w:t>日）后，提供乙方</w:t>
      </w:r>
      <w:r>
        <w:rPr>
          <w:rFonts w:hint="eastAsia" w:asciiTheme="minorEastAsia" w:hAnsiTheme="minorEastAsia" w:eastAsiaTheme="minorEastAsia"/>
          <w:color w:val="auto"/>
          <w:sz w:val="24"/>
          <w:szCs w:val="24"/>
          <w:highlight w:val="none"/>
          <w:u w:val="single"/>
        </w:rPr>
        <w:t xml:space="preserve"> /</w:t>
      </w:r>
      <w:r>
        <w:rPr>
          <w:rFonts w:hint="eastAsia" w:asciiTheme="minorEastAsia" w:hAnsiTheme="minorEastAsia" w:eastAsiaTheme="minorEastAsia"/>
          <w:color w:val="auto"/>
          <w:sz w:val="24"/>
          <w:szCs w:val="24"/>
          <w:highlight w:val="none"/>
          <w:u w:val="single"/>
          <w:lang w:val="en-US" w:eastAsia="zh-CN"/>
        </w:rPr>
        <w:t xml:space="preserve"> </w:t>
      </w:r>
      <w:r>
        <w:rPr>
          <w:rFonts w:hint="eastAsia" w:asciiTheme="minorEastAsia" w:hAnsiTheme="minorEastAsia" w:eastAsiaTheme="minorEastAsia"/>
          <w:color w:val="auto"/>
          <w:sz w:val="24"/>
          <w:szCs w:val="24"/>
          <w:highlight w:val="none"/>
          <w:u w:val="none"/>
        </w:rPr>
        <w:t>天</w:t>
      </w:r>
      <w:r>
        <w:rPr>
          <w:rFonts w:hint="eastAsia" w:asciiTheme="minorEastAsia" w:hAnsiTheme="minorEastAsia" w:eastAsiaTheme="minorEastAsia"/>
          <w:color w:val="auto"/>
          <w:sz w:val="24"/>
          <w:szCs w:val="24"/>
          <w:highlight w:val="none"/>
        </w:rPr>
        <w:t>的内部或（二次）装修期。如在装修及设备调试期间，由于甲方原因不能如期进行，导致乙方装修及设备调试验收时间延迟</w:t>
      </w:r>
      <w:r>
        <w:rPr>
          <w:rFonts w:asciiTheme="minorEastAsia" w:hAnsiTheme="minorEastAsia" w:eastAsiaTheme="minorEastAsia"/>
          <w:color w:val="auto"/>
          <w:sz w:val="24"/>
          <w:szCs w:val="24"/>
          <w:highlight w:val="none"/>
          <w:u w:val="single"/>
        </w:rPr>
        <w:t xml:space="preserve"> 30 </w:t>
      </w:r>
      <w:r>
        <w:rPr>
          <w:rFonts w:hint="eastAsia" w:asciiTheme="minorEastAsia" w:hAnsiTheme="minorEastAsia" w:eastAsiaTheme="minorEastAsia"/>
          <w:color w:val="auto"/>
          <w:sz w:val="24"/>
          <w:szCs w:val="24"/>
          <w:highlight w:val="none"/>
        </w:rPr>
        <w:t>天，租期可顺延。如因乙方原因，造成的工期顺延，租期不予顺延，且甲方不承担违约责任。</w:t>
      </w:r>
    </w:p>
    <w:p w14:paraId="42F6281C">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乙方出资装修所租用房屋，其装修方案须经甲方书面认可，并需在物业管理部门办理装修手续。</w:t>
      </w:r>
    </w:p>
    <w:p w14:paraId="23F0A739">
      <w:pPr>
        <w:shd w:val="clear"/>
        <w:tabs>
          <w:tab w:val="left" w:pos="4500"/>
        </w:tabs>
        <w:spacing w:line="360" w:lineRule="auto"/>
        <w:ind w:firstLine="480" w:firstLineChars="200"/>
        <w:rPr>
          <w:rFonts w:asciiTheme="minorEastAsia" w:hAnsiTheme="minorEastAsia" w:eastAsiaTheme="minorEastAsia"/>
          <w:color w:val="auto"/>
          <w:sz w:val="24"/>
          <w:szCs w:val="24"/>
          <w:highlight w:val="none"/>
        </w:rPr>
      </w:pPr>
      <w:r>
        <w:rPr>
          <w:rFonts w:hint="eastAsia"/>
          <w:color w:val="auto"/>
          <w:sz w:val="24"/>
          <w:szCs w:val="24"/>
          <w:highlight w:val="none"/>
        </w:rPr>
        <w:t>3、乙方出资装修所租用房屋时，不得损坏房屋设施，包括屋面及卫生间防水，如需改变房屋内部结构或设置的设计影响房屋结构，需征得甲方书面同意，并经物业管理部门批准。</w:t>
      </w:r>
    </w:p>
    <w:p w14:paraId="279D0838">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4、如租赁期限届满或租赁合同解除，已完成的房屋内装修的固定部分或影响房屋结构的部分，应按甲方要求恢复房屋或无偿予以保留，甲方不予以向乙方支付任何补偿或赔偿费用。其他可拆除的装修部分，乙方应按照甲方要求拆除，因此造成甲方损失的，由乙方承担；</w:t>
      </w:r>
    </w:p>
    <w:p w14:paraId="12CA2676">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5、如乙方在合同期满或因任何原因解除时，选择不自行拆除装修部分，则乙方应在本合同终止前，向甲方支付经甲方核算后的拆除费用。如乙方既未向甲方支付拆除费用，又未自合同期满或合同解除之日起 10日内自行拆除的，甲方有权自行拆除，所产生的费用均由乙方承担（甲方有权从乙方所缴纳的任何费用中扣除，如扣除后不足以支付上述费用的，甲方有权就不足部分，通过诉讼等方式要求乙方继续承担）。</w:t>
      </w:r>
    </w:p>
    <w:p w14:paraId="36ECA7D4">
      <w:pPr>
        <w:shd w:val="clear"/>
        <w:tabs>
          <w:tab w:val="left" w:pos="4500"/>
        </w:tabs>
        <w:spacing w:line="360" w:lineRule="auto"/>
        <w:ind w:firstLine="475" w:firstLineChars="197"/>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第</w:t>
      </w:r>
      <w:r>
        <w:rPr>
          <w:rFonts w:hint="eastAsia" w:asciiTheme="minorEastAsia" w:hAnsiTheme="minorEastAsia"/>
          <w:b/>
          <w:color w:val="auto"/>
          <w:sz w:val="24"/>
          <w:szCs w:val="24"/>
          <w:highlight w:val="none"/>
          <w:lang w:val="en-US" w:eastAsia="zh-CN"/>
        </w:rPr>
        <w:t>七</w:t>
      </w:r>
      <w:r>
        <w:rPr>
          <w:rFonts w:hint="eastAsia" w:asciiTheme="minorEastAsia" w:hAnsiTheme="minorEastAsia" w:eastAsiaTheme="minorEastAsia"/>
          <w:b/>
          <w:color w:val="auto"/>
          <w:sz w:val="24"/>
          <w:szCs w:val="24"/>
          <w:highlight w:val="none"/>
        </w:rPr>
        <w:t xml:space="preserve">条  </w:t>
      </w:r>
      <w:r>
        <w:rPr>
          <w:rFonts w:hint="eastAsia" w:ascii="宋体" w:hAnsi="宋体"/>
          <w:b/>
          <w:bCs/>
          <w:color w:val="auto"/>
          <w:sz w:val="24"/>
          <w:szCs w:val="24"/>
          <w:highlight w:val="none"/>
        </w:rPr>
        <w:t>甲、乙双方权利和义务</w:t>
      </w:r>
    </w:p>
    <w:p w14:paraId="2202828A">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1、甲方</w:t>
      </w:r>
      <w:r>
        <w:rPr>
          <w:rFonts w:hint="eastAsia"/>
          <w:color w:val="auto"/>
          <w:sz w:val="24"/>
          <w:szCs w:val="24"/>
          <w:highlight w:val="none"/>
          <w:lang w:val="en-US" w:eastAsia="zh-CN"/>
        </w:rPr>
        <w:t>的权利和义务</w:t>
      </w:r>
      <w:r>
        <w:rPr>
          <w:rFonts w:hint="eastAsia"/>
          <w:color w:val="auto"/>
          <w:sz w:val="24"/>
          <w:szCs w:val="24"/>
          <w:highlight w:val="none"/>
        </w:rPr>
        <w:t>：</w:t>
      </w:r>
    </w:p>
    <w:p w14:paraId="7D1B2C3B">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（1）按合同的约定，将出租的房屋交付乙方使用，并有权向乙方收取租金及双方约定的其他费用；</w:t>
      </w:r>
    </w:p>
    <w:p w14:paraId="4274B890">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（2）保证上述房屋具有完备、合格的消防设施、水、电设施，否则，由此引起的责任由甲方承担；</w:t>
      </w:r>
    </w:p>
    <w:p w14:paraId="5F2B3B2D">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（3）保证乙方能够正常使用上述房屋，保障乙方承租过程中正常的用水、用电及日常维修等事宜；</w:t>
      </w:r>
    </w:p>
    <w:p w14:paraId="36549F56">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4）合同有效期内，如甲方将该房屋所有权转让给第三方，则必须提前三个月通知乙方。在同等条件下，乙方享受优先购买权；房屋所有权及土地使用权转让给第三方后，本合同继续有效，第三方应承担本合同中甲方的全部义务。</w:t>
      </w:r>
    </w:p>
    <w:p w14:paraId="3250F119">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5）甲方有权根据需要在向乙方发出事先通知后，于任何时候进入及视察该物业，记录该物业内的所有物品及进行任何检查、测量、维修及施工。若乙方不按甲方的通知立即对该物业进行本合同约定应由乙方负责的维修或其他工程，甲方可单方面强制维修或进行施工，乙方必须充分合作，有关施工费用由乙方承担。</w:t>
      </w:r>
    </w:p>
    <w:p w14:paraId="6AEE65F0">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2、乙方</w:t>
      </w:r>
      <w:r>
        <w:rPr>
          <w:rFonts w:hint="eastAsia"/>
          <w:color w:val="auto"/>
          <w:sz w:val="24"/>
          <w:szCs w:val="24"/>
          <w:highlight w:val="none"/>
          <w:lang w:val="en-US" w:eastAsia="zh-CN"/>
        </w:rPr>
        <w:t>的权利和义务</w:t>
      </w:r>
      <w:r>
        <w:rPr>
          <w:rFonts w:hint="eastAsia"/>
          <w:color w:val="auto"/>
          <w:sz w:val="24"/>
          <w:szCs w:val="24"/>
          <w:highlight w:val="none"/>
        </w:rPr>
        <w:t>：</w:t>
      </w:r>
    </w:p>
    <w:p w14:paraId="466CAEE7">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（1）乙方必须按本合同约定，向甲方交纳租金、物业服务费及其它双方约定的费用；</w:t>
      </w:r>
    </w:p>
    <w:p w14:paraId="2E2D68FC">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（2）乙方在承租中违反国家法律法规的行为，包括但不限于乙方未按照国家相关要求，做好房屋消防等安全保护措施，造成的后果均由乙方自负；</w:t>
      </w:r>
    </w:p>
    <w:p w14:paraId="3AB9FBDD">
      <w:pPr>
        <w:shd w:val="clear"/>
        <w:tabs>
          <w:tab w:val="left" w:pos="4500"/>
        </w:tabs>
        <w:spacing w:line="360" w:lineRule="auto"/>
        <w:ind w:firstLine="480" w:firstLineChars="200"/>
        <w:rPr>
          <w:rFonts w:asciiTheme="minorEastAsia" w:hAnsiTheme="minorEastAsia" w:eastAsiaTheme="minorEastAsia"/>
          <w:color w:val="auto"/>
          <w:sz w:val="24"/>
          <w:szCs w:val="24"/>
          <w:highlight w:val="none"/>
        </w:rPr>
      </w:pPr>
      <w:r>
        <w:rPr>
          <w:rFonts w:hint="eastAsia"/>
          <w:color w:val="auto"/>
          <w:sz w:val="24"/>
          <w:szCs w:val="24"/>
          <w:highlight w:val="none"/>
        </w:rPr>
        <w:t>（3）合同终止或解除后，乙方须于合同解除或终止之日自行拆除其自</w:t>
      </w:r>
      <w:r>
        <w:rPr>
          <w:rFonts w:hint="eastAsia" w:asciiTheme="minorEastAsia" w:hAnsiTheme="minorEastAsia" w:eastAsiaTheme="minorEastAsia"/>
          <w:color w:val="auto"/>
          <w:sz w:val="24"/>
          <w:szCs w:val="24"/>
          <w:highlight w:val="none"/>
        </w:rPr>
        <w:t>有的一切物件、装修，并按照甲方要求的状态返还房屋；逾期如有未搬迁物件，视为乙方放弃所有权，甲方有权处置，并由乙方承担弃物清理的相关费用；</w:t>
      </w:r>
    </w:p>
    <w:p w14:paraId="29176650">
      <w:pPr>
        <w:shd w:val="clear"/>
        <w:tabs>
          <w:tab w:val="left" w:pos="4500"/>
        </w:tabs>
        <w:spacing w:line="360" w:lineRule="auto"/>
        <w:ind w:firstLine="352" w:firstLineChars="147"/>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rPr>
        <w:t>4</w:t>
      </w:r>
      <w:r>
        <w:rPr>
          <w:rFonts w:hint="eastAsia" w:asciiTheme="minorEastAsia" w:hAnsiTheme="minorEastAsia" w:eastAsiaTheme="minorEastAsia"/>
          <w:color w:val="auto"/>
          <w:sz w:val="24"/>
          <w:szCs w:val="24"/>
          <w:highlight w:val="none"/>
        </w:rPr>
        <w:t>）未经甲方书面许可，乙方不得将所承租之房屋转租于第三人。</w:t>
      </w:r>
    </w:p>
    <w:p w14:paraId="544F2AB5">
      <w:pPr>
        <w:shd w:val="clea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第</w:t>
      </w:r>
      <w:r>
        <w:rPr>
          <w:rFonts w:hint="eastAsia" w:ascii="宋体" w:hAnsi="宋体" w:cs="宋体"/>
          <w:b/>
          <w:bCs/>
          <w:color w:val="auto"/>
          <w:sz w:val="24"/>
          <w:szCs w:val="24"/>
          <w:highlight w:val="none"/>
          <w:lang w:val="en-US" w:eastAsia="zh-CN"/>
        </w:rPr>
        <w:t>八</w:t>
      </w:r>
      <w:r>
        <w:rPr>
          <w:rFonts w:hint="eastAsia" w:ascii="宋体" w:hAnsi="宋体" w:cs="宋体"/>
          <w:b/>
          <w:bCs/>
          <w:color w:val="auto"/>
          <w:sz w:val="24"/>
          <w:szCs w:val="24"/>
          <w:highlight w:val="none"/>
        </w:rPr>
        <w:t>条 房屋的转让与转租和续租</w:t>
      </w:r>
    </w:p>
    <w:p w14:paraId="1292239F">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1、租赁期间，甲方有权依照法定程序转让该出租房屋的所有权，转让后，本合同对新的房屋所有人和乙方继续有效。</w:t>
      </w:r>
    </w:p>
    <w:p w14:paraId="210F8BB9">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2、未经甲方同意，乙方不得转租、转借承租房屋。</w:t>
      </w:r>
    </w:p>
    <w:p w14:paraId="32951E98">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3、合同期满，如甲方继续出租该房屋，经双方协商一致，在同等条件下乙方拥有优先承租权。</w:t>
      </w:r>
    </w:p>
    <w:p w14:paraId="03EC566B">
      <w:pPr>
        <w:shd w:val="clear"/>
        <w:tabs>
          <w:tab w:val="left" w:pos="4500"/>
        </w:tabs>
        <w:spacing w:line="360" w:lineRule="auto"/>
        <w:ind w:firstLine="480" w:firstLineChars="200"/>
        <w:rPr>
          <w:rFonts w:ascii="宋体" w:hAnsi="宋体" w:cs="宋体"/>
          <w:color w:val="auto"/>
          <w:sz w:val="24"/>
          <w:szCs w:val="24"/>
          <w:highlight w:val="none"/>
        </w:rPr>
      </w:pPr>
      <w:r>
        <w:rPr>
          <w:rFonts w:hint="eastAsia"/>
          <w:color w:val="auto"/>
          <w:sz w:val="24"/>
          <w:szCs w:val="24"/>
          <w:highlight w:val="none"/>
        </w:rPr>
        <w:t>4、合同期满，乙方需要续租的，应提前60天向甲方提出申请，经双方协商一致后，续签下期租赁合同，否则丧失优先承租权。</w:t>
      </w:r>
    </w:p>
    <w:p w14:paraId="5F644B82">
      <w:pPr>
        <w:shd w:val="clear"/>
        <w:tabs>
          <w:tab w:val="left" w:pos="4500"/>
        </w:tabs>
        <w:spacing w:line="360" w:lineRule="auto"/>
        <w:ind w:firstLine="475" w:firstLineChars="197"/>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第</w:t>
      </w:r>
      <w:r>
        <w:rPr>
          <w:rFonts w:hint="eastAsia" w:asciiTheme="minorEastAsia" w:hAnsiTheme="minorEastAsia"/>
          <w:b/>
          <w:color w:val="auto"/>
          <w:sz w:val="24"/>
          <w:szCs w:val="24"/>
          <w:highlight w:val="none"/>
          <w:lang w:val="en-US" w:eastAsia="zh-CN"/>
        </w:rPr>
        <w:t>九</w:t>
      </w:r>
      <w:r>
        <w:rPr>
          <w:rFonts w:hint="eastAsia" w:asciiTheme="minorEastAsia" w:hAnsiTheme="minorEastAsia" w:eastAsiaTheme="minorEastAsia"/>
          <w:b/>
          <w:color w:val="auto"/>
          <w:sz w:val="24"/>
          <w:szCs w:val="24"/>
          <w:highlight w:val="none"/>
        </w:rPr>
        <w:t xml:space="preserve">条 </w:t>
      </w:r>
      <w:r>
        <w:rPr>
          <w:rFonts w:hint="eastAsia" w:asciiTheme="minorEastAsia" w:hAnsiTheme="minorEastAsia" w:eastAsiaTheme="minorEastAsia"/>
          <w:b/>
          <w:bCs/>
          <w:color w:val="auto"/>
          <w:sz w:val="24"/>
          <w:szCs w:val="24"/>
          <w:highlight w:val="none"/>
        </w:rPr>
        <w:t>违约责任</w:t>
      </w:r>
    </w:p>
    <w:p w14:paraId="0DF9EF4B">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1、甲方逾期交房或交付房屋不符合双方明确约定的交付条件的，每逾期一天，应按本合同约定的该年度租金总额的万分之五向乙方支付违约金。</w:t>
      </w:r>
    </w:p>
    <w:p w14:paraId="1CF7ABA7">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2、乙方逾期付款的，每延迟一天按本合同约定的该年租金总额的万分之五向甲方支付违约金；乙方迟延付款超过20日的，甲方有权单方面解除本合同，且乙方应按该年度年租金总额的20％向甲方支付违约金。</w:t>
      </w:r>
    </w:p>
    <w:p w14:paraId="37BACFA1">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3、乙方有下列情形之一的,甲方有权通知乙方解除合同，收回房屋，乙方已支付的押金甲方不予退还，并且乙方应按照该年度年租金总额20%向甲方支付违约金。若支付的违约金不足弥补甲方损失的，乙方还应负责赔偿直至达到弥补全部损失为止。</w:t>
      </w:r>
    </w:p>
    <w:p w14:paraId="4FDBFC05">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（1）未经甲方同意私自改变承租房屋的用途或利用承租房屋进行非法活动,损害公共利益的；</w:t>
      </w:r>
    </w:p>
    <w:p w14:paraId="0E80AF92">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（2）乙方擅自装修或在装修中擅自改变房屋主体结构,或损坏室内设施的；</w:t>
      </w:r>
    </w:p>
    <w:p w14:paraId="37F739F9">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（3）乙方擅自将房屋转租，转借，转让给第三方的。</w:t>
      </w:r>
    </w:p>
    <w:p w14:paraId="46FBF2C8">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（4）不支付或者不按照约定支付租金超过20日的。</w:t>
      </w:r>
    </w:p>
    <w:p w14:paraId="21B00803">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（5）欠缴各项费用（包括但不限于物业管理费、水电费、中央空调费等等）达【</w:t>
      </w:r>
      <w:r>
        <w:rPr>
          <w:rFonts w:hint="eastAsia"/>
          <w:color w:val="auto"/>
          <w:sz w:val="24"/>
          <w:szCs w:val="24"/>
          <w:highlight w:val="none"/>
          <w:lang w:val="en-US" w:eastAsia="zh-CN"/>
        </w:rPr>
        <w:t>/</w:t>
      </w:r>
      <w:r>
        <w:rPr>
          <w:rFonts w:hint="eastAsia"/>
          <w:color w:val="auto"/>
          <w:sz w:val="24"/>
          <w:szCs w:val="24"/>
          <w:highlight w:val="none"/>
        </w:rPr>
        <w:t>】元的，欠缴标准不超过两个月房租。</w:t>
      </w:r>
    </w:p>
    <w:p w14:paraId="78FF1884">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（6）本合同明确约定的甲方有权解除合同的其他情形</w:t>
      </w:r>
    </w:p>
    <w:p w14:paraId="289DFF35">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4、合同执行期间，甲乙任何一方除不可抗力及本合同约定外，不得以任何理由单方解除、终止本合同或提前收回房屋。</w:t>
      </w:r>
    </w:p>
    <w:p w14:paraId="006DF350">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5、除本合同另有约定外，乙方若违反本合同任何条款或单方擅自终止本合同的，应向甲方支付该年度年租金总金额20%的违约金</w:t>
      </w:r>
      <w:r>
        <w:rPr>
          <w:rFonts w:hint="eastAsia"/>
          <w:color w:val="auto"/>
          <w:sz w:val="24"/>
          <w:szCs w:val="24"/>
          <w:highlight w:val="none"/>
          <w:lang w:eastAsia="zh-CN"/>
        </w:rPr>
        <w:t>，</w:t>
      </w:r>
      <w:r>
        <w:rPr>
          <w:rFonts w:hint="eastAsia"/>
          <w:color w:val="auto"/>
          <w:sz w:val="24"/>
          <w:szCs w:val="24"/>
          <w:highlight w:val="none"/>
        </w:rPr>
        <w:t>并赔偿因此给甲方造成的其他损失。</w:t>
      </w:r>
    </w:p>
    <w:p w14:paraId="464C02B9">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6、合同解除或者合同期满的，乙方未在合同解除或者合同期满后一日内返还房屋的，甲方有权自行收回该房屋，且乙方应当按照合同约定租金标准向甲方支付占用房屋期间的占用费。</w:t>
      </w:r>
    </w:p>
    <w:p w14:paraId="50C28963">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7、如乙方未按时缴纳水电费、物业服务费、电话费、中央空调费等各项费用，造成甲方作为房屋业主面临承担连带责任的，乙方负责赔偿甲方的经济损失。</w:t>
      </w:r>
    </w:p>
    <w:p w14:paraId="4DC6E602">
      <w:pPr>
        <w:shd w:val="clear"/>
        <w:tabs>
          <w:tab w:val="left" w:pos="4500"/>
        </w:tabs>
        <w:spacing w:line="360" w:lineRule="auto"/>
        <w:ind w:firstLine="475" w:firstLineChars="197"/>
        <w:rPr>
          <w:rFonts w:hint="default"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b/>
          <w:color w:val="auto"/>
          <w:sz w:val="24"/>
          <w:szCs w:val="24"/>
          <w:highlight w:val="none"/>
        </w:rPr>
        <w:t xml:space="preserve">第十条 </w:t>
      </w:r>
      <w:r>
        <w:rPr>
          <w:rFonts w:hint="eastAsia" w:asciiTheme="minorEastAsia" w:hAnsiTheme="minorEastAsia"/>
          <w:b/>
          <w:bCs/>
          <w:color w:val="auto"/>
          <w:sz w:val="24"/>
          <w:szCs w:val="24"/>
          <w:highlight w:val="none"/>
          <w:lang w:val="en-US" w:eastAsia="zh-CN"/>
        </w:rPr>
        <w:t>房屋交还</w:t>
      </w:r>
    </w:p>
    <w:p w14:paraId="3C51CF7C">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1、如乙方不存在拖欠甲方房屋租金或其他费用，或甲方同意乙方搬离的，乙方应于合同期限届满或合同解除后一日内搬出该房屋，按甲方相关规定办理退租手续，乙方交还的房屋应经过甲方或甲方委托的物业公司验收，不足部分，由乙方负责赔偿。</w:t>
      </w:r>
    </w:p>
    <w:p w14:paraId="5BC16A1C">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2、无论任何原因，乙方未在合同约定或甲方书面通知的交还期限内将符合本条第1款约定的房屋交还甲方的，则自交还期届满之日的次日起，乙方应当按照合同期限届满或合同解除时租赁房屋租金标准向甲方支付房屋占用费，并按照合同期限届满或解除时租赁房屋物业管理费标准向物业服务公司支付物业管理费并承担相关的水费、电费及其他乙方使用租赁房屋产生的费用，直至乙方按照合同要求交还租赁房屋为止。若因此造成甲方延迟向新租户交付租赁房屋而需承担违约金、中介费，以及造成甲方其他损失的，均由乙方承担赔偿责任。</w:t>
      </w:r>
    </w:p>
    <w:p w14:paraId="75434E6A">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同时，自本条第1款所述交还期届满之日的次日起，如乙方未按要求撤场并交付租赁房屋，甲方或物业服务公司有权直接进入房屋，并采取对租赁房屋停止水、电等供应等强制措施。此种情形下，乙方所应当承担的租金、物业服务费及相关费用并不因此而得到减免，且甲方无需承担违约责任。</w:t>
      </w:r>
    </w:p>
    <w:p w14:paraId="22CDE834">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 xml:space="preserve"> 3、在乙方向甲方交还租赁房屋的同时，乙方应当与甲方或甲方委托的物业公司签署《租赁房屋退租验收单》。除本合同约定的其他情形外，在双方签署了该确认书之后、或虽未签署该确认书但乙方已经实际撤离租赁房屋之后（包括但不限于全部人员撤离、主要物品已清理等）或乙方在交还期届满之后仍未撤离，乙方同意：乙方在租赁房屋内遗留的任何装饰装修、设施设备、物品等均视为乙方放弃了所有权及一切权利，甲方有权自行予以处置（包括作为垃圾予以处理），且无需赔偿乙方。</w:t>
      </w:r>
    </w:p>
    <w:p w14:paraId="006AB058">
      <w:pPr>
        <w:shd w:val="clear"/>
        <w:tabs>
          <w:tab w:val="left" w:pos="4500"/>
        </w:tabs>
        <w:spacing w:line="360" w:lineRule="auto"/>
        <w:ind w:firstLine="480" w:firstLineChars="200"/>
        <w:rPr>
          <w:rFonts w:hint="eastAsia"/>
          <w:color w:val="auto"/>
          <w:sz w:val="24"/>
          <w:szCs w:val="24"/>
          <w:highlight w:val="none"/>
        </w:rPr>
      </w:pPr>
      <w:r>
        <w:rPr>
          <w:rFonts w:hint="eastAsia"/>
          <w:color w:val="auto"/>
          <w:sz w:val="24"/>
          <w:szCs w:val="24"/>
          <w:highlight w:val="none"/>
        </w:rPr>
        <w:t>合同期限届满或无论合同因何种原因解除，乙方均不得向甲方主张针对房屋装修、装饰的任何补偿或赔偿。</w:t>
      </w:r>
    </w:p>
    <w:p w14:paraId="4DBCEFC5">
      <w:pPr>
        <w:shd w:val="clear"/>
        <w:tabs>
          <w:tab w:val="left" w:pos="4500"/>
        </w:tabs>
        <w:spacing w:line="360" w:lineRule="auto"/>
        <w:ind w:firstLine="480" w:firstLineChars="200"/>
        <w:rPr>
          <w:rFonts w:asciiTheme="minorEastAsia" w:hAnsiTheme="minorEastAsia" w:eastAsiaTheme="minorEastAsia"/>
          <w:color w:val="auto"/>
          <w:sz w:val="24"/>
          <w:szCs w:val="24"/>
          <w:highlight w:val="none"/>
        </w:rPr>
      </w:pPr>
      <w:r>
        <w:rPr>
          <w:rFonts w:hint="eastAsia"/>
          <w:color w:val="auto"/>
          <w:sz w:val="24"/>
          <w:szCs w:val="24"/>
          <w:highlight w:val="none"/>
        </w:rPr>
        <w:t>如甲方因对乙方撤离后的租赁房屋进行清理、整改或对有关设施设备进行维修、更换等使之符合承租条件并能够正常使用的，则因此而发生的费用支出均应当由乙方承担，并且在上述清理期间，乙方应当按照本条第2款所述租金标准承担租赁房屋的占用费，以弥补甲方在此期间的租金损失。</w:t>
      </w:r>
    </w:p>
    <w:p w14:paraId="338EAC49">
      <w:pPr>
        <w:shd w:val="clear"/>
        <w:spacing w:line="360" w:lineRule="auto"/>
        <w:ind w:firstLine="499" w:firstLineChars="207"/>
        <w:rPr>
          <w:rFonts w:ascii="宋体" w:hAnsi="宋体" w:cs="宋体"/>
          <w:b/>
          <w:color w:val="auto"/>
          <w:sz w:val="24"/>
          <w:szCs w:val="24"/>
          <w:highlight w:val="none"/>
        </w:rPr>
      </w:pPr>
      <w:r>
        <w:rPr>
          <w:rFonts w:hint="eastAsia" w:ascii="宋体" w:hAnsi="宋体" w:cs="宋体"/>
          <w:b/>
          <w:color w:val="auto"/>
          <w:sz w:val="24"/>
          <w:szCs w:val="24"/>
          <w:highlight w:val="none"/>
        </w:rPr>
        <w:t>第十</w:t>
      </w:r>
      <w:r>
        <w:rPr>
          <w:rFonts w:hint="eastAsia" w:ascii="宋体" w:hAnsi="宋体" w:cs="宋体"/>
          <w:b/>
          <w:color w:val="auto"/>
          <w:sz w:val="24"/>
          <w:szCs w:val="24"/>
          <w:highlight w:val="none"/>
          <w:lang w:val="en-US" w:eastAsia="zh-CN"/>
        </w:rPr>
        <w:t>一</w:t>
      </w:r>
      <w:r>
        <w:rPr>
          <w:rFonts w:hint="eastAsia" w:ascii="宋体" w:hAnsi="宋体" w:cs="宋体"/>
          <w:b/>
          <w:color w:val="auto"/>
          <w:sz w:val="24"/>
          <w:szCs w:val="24"/>
          <w:highlight w:val="none"/>
        </w:rPr>
        <w:t>条 合同终止</w:t>
      </w:r>
    </w:p>
    <w:p w14:paraId="2E237D15">
      <w:pPr>
        <w:shd w:val="clea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1、合同期满，双方结清全部手续且未续签的，本合同终止；</w:t>
      </w:r>
    </w:p>
    <w:p w14:paraId="09CA4E44">
      <w:pPr>
        <w:shd w:val="clea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2、依照法律规定或者约定解除合同的；</w:t>
      </w:r>
    </w:p>
    <w:p w14:paraId="0A9E7D80">
      <w:pPr>
        <w:shd w:val="clear"/>
        <w:spacing w:line="360" w:lineRule="auto"/>
        <w:ind w:firstLine="460" w:firstLineChars="192"/>
        <w:rPr>
          <w:rFonts w:ascii="宋体" w:hAnsi="宋体" w:cs="宋体"/>
          <w:vanish/>
          <w:color w:val="auto"/>
          <w:sz w:val="24"/>
          <w:szCs w:val="24"/>
          <w:highlight w:val="none"/>
        </w:rPr>
      </w:pPr>
      <w:r>
        <w:rPr>
          <w:rFonts w:hint="eastAsia" w:ascii="宋体" w:hAnsi="宋体" w:cs="宋体"/>
          <w:color w:val="auto"/>
          <w:sz w:val="24"/>
          <w:szCs w:val="24"/>
          <w:highlight w:val="none"/>
        </w:rPr>
        <w:t>3</w:t>
      </w:r>
      <w:r>
        <w:rPr>
          <w:rFonts w:hint="eastAsia" w:ascii="宋体" w:hAnsi="宋体" w:cs="宋体"/>
          <w:vanish/>
          <w:color w:val="auto"/>
          <w:sz w:val="24"/>
          <w:szCs w:val="24"/>
          <w:highlight w:val="none"/>
        </w:rPr>
        <w:t>同权租金视为违约金，甲方有权不予退还，且乙方应承担其所承租厂房</w:t>
      </w:r>
    </w:p>
    <w:p w14:paraId="7FCCAA6E">
      <w:pPr>
        <w:shd w:val="clear"/>
        <w:spacing w:line="360" w:lineRule="auto"/>
        <w:ind w:firstLine="460" w:firstLineChars="192"/>
        <w:rPr>
          <w:rFonts w:ascii="宋体" w:hAnsi="宋体" w:cs="宋体"/>
          <w:color w:val="auto"/>
          <w:sz w:val="24"/>
          <w:szCs w:val="24"/>
          <w:highlight w:val="none"/>
        </w:rPr>
      </w:pPr>
      <w:r>
        <w:rPr>
          <w:rFonts w:hint="eastAsia" w:ascii="宋体" w:hAnsi="宋体" w:cs="宋体"/>
          <w:vanish/>
          <w:color w:val="auto"/>
          <w:sz w:val="24"/>
          <w:szCs w:val="24"/>
          <w:highlight w:val="none"/>
        </w:rPr>
        <w:t>4</w:t>
      </w:r>
      <w:r>
        <w:rPr>
          <w:rFonts w:hint="eastAsia" w:ascii="宋体" w:hAnsi="宋体" w:cs="宋体"/>
          <w:color w:val="auto"/>
          <w:sz w:val="24"/>
          <w:szCs w:val="24"/>
          <w:highlight w:val="none"/>
        </w:rPr>
        <w:t>、本合同所涉及的甲方单方解除合同程序为：按《中华人民共和国民法典》的规定，书面通知乙方，合同即解除。合同解除后，甲方对乙方所承租的房屋有另行处分的权利。乙方在合同解除后三日内未搬离的物品，视为乙方自愿赠与甲方，甲方有权无偿取得其所有权。</w:t>
      </w:r>
    </w:p>
    <w:p w14:paraId="73CC8E68">
      <w:pPr>
        <w:numPr>
          <w:ilvl w:val="0"/>
          <w:numId w:val="3"/>
        </w:numPr>
        <w:shd w:val="clear"/>
        <w:spacing w:line="360" w:lineRule="auto"/>
        <w:ind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本合同履行过程中，本合同条款或乙方的租赁情况与甲方以及上级部门相关文件中的有效规定相冲突的或与审计部门要求不相符的，甲方有权解除本合同，且无需承担违约责任，因此造成的一切损失由乙方自行承担。乙方应自收到甲方解除合同通知函之日起，按照本合同第十条约定办理交还物业的相关手续。</w:t>
      </w:r>
    </w:p>
    <w:p w14:paraId="30ED7C94">
      <w:pPr>
        <w:shd w:val="clear"/>
        <w:tabs>
          <w:tab w:val="left" w:pos="4500"/>
        </w:tabs>
        <w:spacing w:line="360" w:lineRule="auto"/>
        <w:ind w:firstLine="472" w:firstLineChars="196"/>
        <w:rPr>
          <w:rFonts w:hint="eastAsia" w:ascii="宋体" w:hAnsi="宋体" w:cs="宋体"/>
          <w:color w:val="auto"/>
          <w:sz w:val="24"/>
          <w:szCs w:val="24"/>
          <w:highlight w:val="none"/>
        </w:rPr>
      </w:pPr>
      <w:r>
        <w:rPr>
          <w:rFonts w:hint="eastAsia" w:asciiTheme="minorEastAsia" w:hAnsiTheme="minorEastAsia" w:eastAsiaTheme="minorEastAsia"/>
          <w:b/>
          <w:color w:val="auto"/>
          <w:sz w:val="24"/>
          <w:szCs w:val="24"/>
          <w:highlight w:val="none"/>
        </w:rPr>
        <w:t>第十</w:t>
      </w:r>
      <w:r>
        <w:rPr>
          <w:rFonts w:hint="eastAsia" w:asciiTheme="minorEastAsia" w:hAnsiTheme="minorEastAsia"/>
          <w:b/>
          <w:color w:val="auto"/>
          <w:sz w:val="24"/>
          <w:szCs w:val="24"/>
          <w:highlight w:val="none"/>
          <w:lang w:val="en-US" w:eastAsia="zh-CN"/>
        </w:rPr>
        <w:t>二</w:t>
      </w:r>
      <w:r>
        <w:rPr>
          <w:rFonts w:hint="eastAsia" w:asciiTheme="minorEastAsia" w:hAnsiTheme="minorEastAsia" w:eastAsiaTheme="minorEastAsia"/>
          <w:b/>
          <w:color w:val="auto"/>
          <w:sz w:val="24"/>
          <w:szCs w:val="24"/>
          <w:highlight w:val="none"/>
        </w:rPr>
        <w:t xml:space="preserve">条 </w:t>
      </w:r>
      <w:r>
        <w:rPr>
          <w:rFonts w:hint="eastAsia" w:ascii="宋体" w:hAnsi="宋体" w:cs="宋体"/>
          <w:color w:val="auto"/>
          <w:sz w:val="24"/>
          <w:szCs w:val="24"/>
          <w:highlight w:val="none"/>
        </w:rPr>
        <w:t>各方确认，各方填写的本合同中联系地址、联系方式的适用范围既包括各方在非诉阶段的各类通知、协议等所有往来文件的送达，也包括就本合同发生争议时以及争议进入民事诉讼程序后的一审、二审、再审和执行程序中相关文件或法律文书的送达。人民法院和/或仲裁机构的相关文件或者法律文书向任何一方当事人在本合同中的联系地址送达的，均视为有效送达，不论被送达人是否收到该等文件或法律文书，均发生法律、法规上规定的诉讼文书送达效果。</w:t>
      </w:r>
    </w:p>
    <w:p w14:paraId="7C60343F">
      <w:pPr>
        <w:shd w:val="clear"/>
        <w:spacing w:line="360" w:lineRule="auto"/>
        <w:ind w:firstLine="499" w:firstLineChars="207"/>
        <w:rPr>
          <w:rFonts w:ascii="宋体" w:hAnsi="宋体" w:cs="宋体"/>
          <w:b/>
          <w:color w:val="auto"/>
          <w:sz w:val="24"/>
          <w:szCs w:val="24"/>
          <w:highlight w:val="none"/>
        </w:rPr>
      </w:pPr>
      <w:r>
        <w:rPr>
          <w:rFonts w:hint="eastAsia" w:ascii="宋体" w:hAnsi="宋体" w:cs="宋体"/>
          <w:b/>
          <w:color w:val="auto"/>
          <w:sz w:val="24"/>
          <w:szCs w:val="24"/>
          <w:highlight w:val="none"/>
        </w:rPr>
        <w:t>第十</w:t>
      </w:r>
      <w:r>
        <w:rPr>
          <w:rFonts w:hint="eastAsia" w:ascii="宋体" w:hAnsi="宋体" w:cs="宋体"/>
          <w:b/>
          <w:color w:val="auto"/>
          <w:sz w:val="24"/>
          <w:szCs w:val="24"/>
          <w:highlight w:val="none"/>
          <w:lang w:val="en-US" w:eastAsia="zh-CN"/>
        </w:rPr>
        <w:t>三</w:t>
      </w:r>
      <w:r>
        <w:rPr>
          <w:rFonts w:hint="eastAsia" w:ascii="宋体" w:hAnsi="宋体" w:cs="宋体"/>
          <w:b/>
          <w:color w:val="auto"/>
          <w:sz w:val="24"/>
          <w:szCs w:val="24"/>
          <w:highlight w:val="none"/>
        </w:rPr>
        <w:t>条 争议解决</w:t>
      </w:r>
    </w:p>
    <w:p w14:paraId="3C5A6C04">
      <w:pPr>
        <w:shd w:val="clear"/>
        <w:spacing w:line="360" w:lineRule="auto"/>
        <w:ind w:firstLine="496" w:firstLineChars="207"/>
        <w:rPr>
          <w:rFonts w:asciiTheme="minorEastAsia" w:hAnsiTheme="minorEastAsia" w:eastAsiaTheme="minorEastAsia"/>
          <w:color w:val="auto"/>
          <w:sz w:val="24"/>
          <w:szCs w:val="24"/>
          <w:highlight w:val="none"/>
        </w:rPr>
      </w:pPr>
      <w:r>
        <w:rPr>
          <w:rFonts w:hint="eastAsia" w:ascii="宋体" w:hAnsi="宋体" w:cs="宋体"/>
          <w:color w:val="auto"/>
          <w:sz w:val="24"/>
          <w:szCs w:val="24"/>
          <w:highlight w:val="none"/>
        </w:rPr>
        <w:t>本合同履行中如发生争议，由双方协商解决，协商不成的任何一方均可向房屋所在地人民法院提起诉讼。</w:t>
      </w:r>
    </w:p>
    <w:p w14:paraId="208375B1">
      <w:pPr>
        <w:shd w:val="clear"/>
        <w:spacing w:line="360" w:lineRule="auto"/>
        <w:ind w:firstLine="482" w:firstLineChars="200"/>
        <w:rPr>
          <w:rFonts w:cs="宋体"/>
          <w:b/>
          <w:color w:val="auto"/>
          <w:sz w:val="24"/>
          <w:szCs w:val="24"/>
          <w:highlight w:val="none"/>
        </w:rPr>
      </w:pPr>
      <w:r>
        <w:rPr>
          <w:rFonts w:hint="eastAsia" w:cs="宋体"/>
          <w:b/>
          <w:color w:val="auto"/>
          <w:sz w:val="24"/>
          <w:szCs w:val="24"/>
          <w:highlight w:val="none"/>
        </w:rPr>
        <w:t>第十</w:t>
      </w:r>
      <w:r>
        <w:rPr>
          <w:rFonts w:hint="eastAsia" w:cs="宋体"/>
          <w:b/>
          <w:color w:val="auto"/>
          <w:sz w:val="24"/>
          <w:szCs w:val="24"/>
          <w:highlight w:val="none"/>
          <w:lang w:val="en-US" w:eastAsia="zh-CN"/>
        </w:rPr>
        <w:t>四</w:t>
      </w:r>
      <w:r>
        <w:rPr>
          <w:rFonts w:hint="eastAsia" w:cs="宋体"/>
          <w:b/>
          <w:color w:val="auto"/>
          <w:sz w:val="24"/>
          <w:szCs w:val="24"/>
          <w:highlight w:val="none"/>
        </w:rPr>
        <w:t>条 补充约定</w:t>
      </w:r>
    </w:p>
    <w:p w14:paraId="111D57C8">
      <w:pPr>
        <w:shd w:val="clear"/>
        <w:spacing w:line="360" w:lineRule="auto"/>
        <w:ind w:firstLine="480" w:firstLineChars="200"/>
        <w:rPr>
          <w:rFonts w:cs="宋体"/>
          <w:color w:val="auto"/>
          <w:sz w:val="24"/>
          <w:szCs w:val="24"/>
          <w:highlight w:val="none"/>
        </w:rPr>
      </w:pPr>
      <w:r>
        <w:rPr>
          <w:rFonts w:hint="eastAsia" w:cs="宋体"/>
          <w:color w:val="auto"/>
          <w:sz w:val="24"/>
          <w:szCs w:val="24"/>
          <w:highlight w:val="none"/>
        </w:rPr>
        <w:t>1、本合同未尽事宜，由经合同双方共同协商做出补充约定，但补充合同不得与甲方或甲方上级部门的有关文件规定相冲突。补充约定与本合同具有同等效力。</w:t>
      </w:r>
    </w:p>
    <w:p w14:paraId="47C5A519">
      <w:pPr>
        <w:shd w:val="clear"/>
        <w:spacing w:line="360" w:lineRule="auto"/>
        <w:ind w:firstLine="480" w:firstLineChars="200"/>
        <w:rPr>
          <w:rFonts w:cs="宋体"/>
          <w:color w:val="auto"/>
          <w:sz w:val="24"/>
          <w:szCs w:val="24"/>
          <w:highlight w:val="none"/>
        </w:rPr>
      </w:pPr>
      <w:r>
        <w:rPr>
          <w:rFonts w:hint="eastAsia" w:cs="宋体"/>
          <w:color w:val="auto"/>
          <w:sz w:val="24"/>
          <w:szCs w:val="24"/>
          <w:highlight w:val="none"/>
        </w:rPr>
        <w:t>2、如本合同中相关条款与甲方或甲方上级部门相关文件相冲突的，甲乙双方同意以甲方或甲方上级部门文件规定为准。</w:t>
      </w:r>
    </w:p>
    <w:p w14:paraId="5C9E1499">
      <w:pPr>
        <w:shd w:val="clear"/>
        <w:spacing w:line="360" w:lineRule="auto"/>
        <w:ind w:firstLine="480" w:firstLineChars="200"/>
        <w:rPr>
          <w:rFonts w:cs="宋体"/>
          <w:color w:val="auto"/>
          <w:sz w:val="24"/>
          <w:szCs w:val="24"/>
          <w:highlight w:val="none"/>
        </w:rPr>
      </w:pPr>
      <w:r>
        <w:rPr>
          <w:rFonts w:hint="eastAsia" w:cs="宋体"/>
          <w:color w:val="auto"/>
          <w:sz w:val="24"/>
          <w:szCs w:val="24"/>
          <w:highlight w:val="none"/>
        </w:rPr>
        <w:t>3、如双方对本合同未尽事宜未能达成协商一致，但甲方或甲方上级部门文件有规定的，甲乙双方同意按甲方或甲方上级部门文件规定进行处理。</w:t>
      </w:r>
    </w:p>
    <w:p w14:paraId="646FF55C">
      <w:pPr>
        <w:shd w:val="clear"/>
        <w:spacing w:line="360" w:lineRule="auto"/>
        <w:ind w:firstLine="480" w:firstLineChars="200"/>
        <w:rPr>
          <w:rFonts w:cs="宋体"/>
          <w:color w:val="auto"/>
          <w:sz w:val="24"/>
          <w:szCs w:val="24"/>
          <w:highlight w:val="none"/>
        </w:rPr>
      </w:pPr>
      <w:r>
        <w:rPr>
          <w:rFonts w:hint="eastAsia" w:cs="宋体"/>
          <w:color w:val="auto"/>
          <w:sz w:val="24"/>
          <w:szCs w:val="24"/>
          <w:highlight w:val="none"/>
        </w:rPr>
        <w:t>4、本合同履行过程中，因为任何一方存在违约行为导致对方通过诉讼等方式主张权益的，违约方应承担守约方由此产生的诉讼费、律师费、保全费、保险费等各项费用。</w:t>
      </w:r>
    </w:p>
    <w:p w14:paraId="1538BD08">
      <w:pPr>
        <w:shd w:val="clear"/>
        <w:spacing w:line="360" w:lineRule="auto"/>
        <w:rPr>
          <w:rFonts w:cs="宋体"/>
          <w:b/>
          <w:color w:val="auto"/>
          <w:sz w:val="24"/>
          <w:szCs w:val="24"/>
          <w:highlight w:val="none"/>
        </w:rPr>
      </w:pPr>
      <w:r>
        <w:rPr>
          <w:rFonts w:hint="eastAsia" w:cs="宋体"/>
          <w:b/>
          <w:color w:val="auto"/>
          <w:sz w:val="24"/>
          <w:szCs w:val="24"/>
          <w:highlight w:val="none"/>
        </w:rPr>
        <w:t xml:space="preserve">    第十</w:t>
      </w:r>
      <w:r>
        <w:rPr>
          <w:rFonts w:hint="eastAsia" w:cs="宋体"/>
          <w:b/>
          <w:color w:val="auto"/>
          <w:sz w:val="24"/>
          <w:szCs w:val="24"/>
          <w:highlight w:val="none"/>
          <w:lang w:val="en-US" w:eastAsia="zh-CN"/>
        </w:rPr>
        <w:t>五</w:t>
      </w:r>
      <w:r>
        <w:rPr>
          <w:rFonts w:hint="eastAsia" w:cs="宋体"/>
          <w:b/>
          <w:color w:val="auto"/>
          <w:sz w:val="24"/>
          <w:szCs w:val="24"/>
          <w:highlight w:val="none"/>
        </w:rPr>
        <w:t>条  其他</w:t>
      </w:r>
    </w:p>
    <w:p w14:paraId="5FC6B7EF">
      <w:pPr>
        <w:shd w:val="clear"/>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1、本合同壹式捌份，双方各执肆份，具有同等法律效力，自双方签字盖章之日起生效。</w:t>
      </w:r>
    </w:p>
    <w:p w14:paraId="01DEA633">
      <w:pPr>
        <w:shd w:val="clear"/>
        <w:spacing w:line="360" w:lineRule="auto"/>
        <w:ind w:firstLine="480" w:firstLineChars="200"/>
        <w:rPr>
          <w:rFonts w:hint="eastAsia" w:cs="宋体"/>
          <w:color w:val="auto"/>
          <w:sz w:val="24"/>
          <w:szCs w:val="24"/>
          <w:highlight w:val="none"/>
        </w:rPr>
      </w:pPr>
      <w:r>
        <w:rPr>
          <w:rFonts w:hint="eastAsia" w:cs="宋体"/>
          <w:color w:val="auto"/>
          <w:sz w:val="24"/>
          <w:szCs w:val="24"/>
          <w:highlight w:val="none"/>
        </w:rPr>
        <w:t>2、未尽事宜双方可另行签订补充协议，补充协议及附件与本合同具有同等法律效力。</w:t>
      </w:r>
    </w:p>
    <w:p w14:paraId="5398AF9C">
      <w:pPr>
        <w:shd w:val="clear"/>
        <w:spacing w:line="360" w:lineRule="auto"/>
        <w:ind w:firstLine="480" w:firstLineChars="200"/>
        <w:rPr>
          <w:rFonts w:hint="eastAsia" w:cs="宋体"/>
          <w:color w:val="auto"/>
          <w:sz w:val="28"/>
          <w:szCs w:val="28"/>
          <w:highlight w:val="none"/>
        </w:rPr>
      </w:pPr>
      <w:r>
        <w:rPr>
          <w:rFonts w:hint="eastAsia" w:cs="宋体"/>
          <w:color w:val="auto"/>
          <w:sz w:val="24"/>
          <w:szCs w:val="24"/>
          <w:highlight w:val="none"/>
        </w:rPr>
        <w:t>3、双方承诺就本合同从对方获悉的任何信息承担保密义务，不得将从对方获得的信息再披露给任何第三方，也不得将该等信息用于本合同约定目的以外的任何目的。</w:t>
      </w:r>
    </w:p>
    <w:p w14:paraId="1D52FE17">
      <w:pPr>
        <w:shd w:val="clear"/>
        <w:tabs>
          <w:tab w:val="left" w:pos="4500"/>
        </w:tabs>
        <w:spacing w:line="500" w:lineRule="exact"/>
        <w:rPr>
          <w:rFonts w:hint="eastAsia" w:asciiTheme="minorEastAsia" w:hAnsiTheme="minorEastAsia" w:eastAsiaTheme="minorEastAsia"/>
          <w:color w:val="auto"/>
          <w:sz w:val="24"/>
          <w:szCs w:val="24"/>
          <w:highlight w:val="none"/>
        </w:rPr>
      </w:pPr>
    </w:p>
    <w:p w14:paraId="5F7091D0">
      <w:pPr>
        <w:shd w:val="clear"/>
        <w:tabs>
          <w:tab w:val="left" w:pos="4500"/>
        </w:tabs>
        <w:spacing w:line="500" w:lineRule="exact"/>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rPr>
        <w:t>甲方：                                      乙方：</w:t>
      </w:r>
      <w:r>
        <w:rPr>
          <w:rFonts w:hint="eastAsia" w:asciiTheme="minorEastAsia" w:hAnsiTheme="minorEastAsia"/>
          <w:color w:val="auto"/>
          <w:sz w:val="24"/>
          <w:szCs w:val="24"/>
          <w:highlight w:val="none"/>
          <w:lang w:val="en-US" w:eastAsia="zh-CN"/>
        </w:rPr>
        <w:t xml:space="preserve"> </w:t>
      </w:r>
    </w:p>
    <w:p w14:paraId="7B996AB4">
      <w:pPr>
        <w:shd w:val="clear"/>
        <w:tabs>
          <w:tab w:val="left" w:pos="4500"/>
        </w:tabs>
        <w:spacing w:line="500" w:lineRule="exact"/>
        <w:rPr>
          <w:rFonts w:hint="default"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rPr>
        <w:t>法定代表人或委托人：                        法定代表人或委托人：</w:t>
      </w:r>
    </w:p>
    <w:p w14:paraId="5518A7D4">
      <w:pPr>
        <w:pStyle w:val="12"/>
        <w:rPr>
          <w:rFonts w:hint="eastAsia" w:asciiTheme="minorEastAsia" w:hAnsiTheme="minorEastAsia" w:eastAsiaTheme="minorEastAsia"/>
          <w:color w:val="auto"/>
          <w:sz w:val="24"/>
          <w:szCs w:val="24"/>
          <w:highlight w:val="none"/>
        </w:rPr>
      </w:pPr>
    </w:p>
    <w:p w14:paraId="4A82DE6D">
      <w:r>
        <w:rPr>
          <w:rFonts w:hint="eastAsia" w:asciiTheme="minorEastAsia" w:hAnsiTheme="minorEastAsia" w:eastAsiaTheme="minorEastAsia"/>
          <w:color w:val="auto"/>
          <w:sz w:val="24"/>
          <w:szCs w:val="24"/>
          <w:highlight w:val="none"/>
        </w:rPr>
        <w:t>年   月   日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EEFFA8"/>
    <w:multiLevelType w:val="singleLevel"/>
    <w:tmpl w:val="A8EEFFA8"/>
    <w:lvl w:ilvl="0" w:tentative="0">
      <w:start w:val="4"/>
      <w:numFmt w:val="decimal"/>
      <w:suff w:val="nothing"/>
      <w:lvlText w:val="%1、"/>
      <w:lvlJc w:val="left"/>
    </w:lvl>
  </w:abstractNum>
  <w:abstractNum w:abstractNumId="1">
    <w:nsid w:val="B9198F06"/>
    <w:multiLevelType w:val="singleLevel"/>
    <w:tmpl w:val="B9198F06"/>
    <w:lvl w:ilvl="0" w:tentative="0">
      <w:start w:val="1"/>
      <w:numFmt w:val="decimal"/>
      <w:pStyle w:val="7"/>
      <w:lvlText w:val="%1."/>
      <w:lvlJc w:val="left"/>
      <w:pPr>
        <w:tabs>
          <w:tab w:val="left" w:pos="2040"/>
        </w:tabs>
        <w:ind w:left="2040" w:hanging="360"/>
      </w:pPr>
    </w:lvl>
  </w:abstractNum>
  <w:abstractNum w:abstractNumId="2">
    <w:nsid w:val="71674A7D"/>
    <w:multiLevelType w:val="multilevel"/>
    <w:tmpl w:val="71674A7D"/>
    <w:lvl w:ilvl="0" w:tentative="0">
      <w:start w:val="1"/>
      <w:numFmt w:val="japaneseCounting"/>
      <w:lvlText w:val="第%1条"/>
      <w:lvlJc w:val="left"/>
      <w:pPr>
        <w:tabs>
          <w:tab w:val="left" w:pos="1440"/>
        </w:tabs>
        <w:ind w:left="1380" w:hanging="960"/>
      </w:pPr>
    </w:lvl>
    <w:lvl w:ilvl="1" w:tentative="0">
      <w:start w:val="1"/>
      <w:numFmt w:val="decimal"/>
      <w:lvlText w:val="%2."/>
      <w:lvlJc w:val="left"/>
      <w:pPr>
        <w:tabs>
          <w:tab w:val="left" w:pos="1440"/>
        </w:tabs>
        <w:ind w:left="1380" w:hanging="360"/>
      </w:pPr>
    </w:lvl>
    <w:lvl w:ilvl="2" w:tentative="0">
      <w:start w:val="1"/>
      <w:numFmt w:val="decimal"/>
      <w:lvlText w:val="%3."/>
      <w:lvlJc w:val="left"/>
      <w:pPr>
        <w:tabs>
          <w:tab w:val="left" w:pos="2160"/>
        </w:tabs>
        <w:ind w:left="2100" w:hanging="360"/>
      </w:pPr>
    </w:lvl>
    <w:lvl w:ilvl="3" w:tentative="0">
      <w:start w:val="1"/>
      <w:numFmt w:val="decimal"/>
      <w:lvlText w:val="%4."/>
      <w:lvlJc w:val="left"/>
      <w:pPr>
        <w:tabs>
          <w:tab w:val="left" w:pos="2880"/>
        </w:tabs>
        <w:ind w:left="2820" w:hanging="360"/>
      </w:pPr>
    </w:lvl>
    <w:lvl w:ilvl="4" w:tentative="0">
      <w:start w:val="1"/>
      <w:numFmt w:val="decimal"/>
      <w:lvlText w:val="%5."/>
      <w:lvlJc w:val="left"/>
      <w:pPr>
        <w:tabs>
          <w:tab w:val="left" w:pos="3600"/>
        </w:tabs>
        <w:ind w:left="3540" w:hanging="360"/>
      </w:pPr>
    </w:lvl>
    <w:lvl w:ilvl="5" w:tentative="0">
      <w:start w:val="1"/>
      <w:numFmt w:val="decimal"/>
      <w:lvlText w:val="%6."/>
      <w:lvlJc w:val="left"/>
      <w:pPr>
        <w:tabs>
          <w:tab w:val="left" w:pos="4320"/>
        </w:tabs>
        <w:ind w:left="4260" w:hanging="360"/>
      </w:pPr>
    </w:lvl>
    <w:lvl w:ilvl="6" w:tentative="0">
      <w:start w:val="1"/>
      <w:numFmt w:val="decimal"/>
      <w:lvlText w:val="%7."/>
      <w:lvlJc w:val="left"/>
      <w:pPr>
        <w:tabs>
          <w:tab w:val="left" w:pos="5040"/>
        </w:tabs>
        <w:ind w:left="4980" w:hanging="360"/>
      </w:pPr>
    </w:lvl>
    <w:lvl w:ilvl="7" w:tentative="0">
      <w:start w:val="1"/>
      <w:numFmt w:val="decimal"/>
      <w:lvlText w:val="%8."/>
      <w:lvlJc w:val="left"/>
      <w:pPr>
        <w:tabs>
          <w:tab w:val="left" w:pos="5760"/>
        </w:tabs>
        <w:ind w:left="5700" w:hanging="360"/>
      </w:pPr>
    </w:lvl>
    <w:lvl w:ilvl="8" w:tentative="0">
      <w:start w:val="1"/>
      <w:numFmt w:val="decimal"/>
      <w:lvlText w:val="%9."/>
      <w:lvlJc w:val="left"/>
      <w:pPr>
        <w:tabs>
          <w:tab w:val="left" w:pos="6480"/>
        </w:tabs>
        <w:ind w:left="642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9751C"/>
    <w:rsid w:val="07B9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4">
    <w:name w:val="Body Text"/>
    <w:basedOn w:val="1"/>
    <w:next w:val="1"/>
    <w:qFormat/>
    <w:uiPriority w:val="0"/>
    <w:rPr>
      <w:rFonts w:ascii="Times New Roman"/>
    </w:rPr>
  </w:style>
  <w:style w:type="paragraph" w:styleId="5">
    <w:name w:val="Body Text Indent"/>
    <w:basedOn w:val="1"/>
    <w:next w:val="1"/>
    <w:qFormat/>
    <w:uiPriority w:val="0"/>
    <w:pPr>
      <w:spacing w:line="360" w:lineRule="auto"/>
      <w:ind w:firstLine="480" w:firstLineChars="200"/>
    </w:pPr>
  </w:style>
  <w:style w:type="paragraph" w:styleId="6">
    <w:name w:val="Plain Text"/>
    <w:basedOn w:val="1"/>
    <w:next w:val="7"/>
    <w:qFormat/>
    <w:uiPriority w:val="0"/>
    <w:rPr>
      <w:rFonts w:hAnsi="Courier New"/>
      <w:kern w:val="2"/>
      <w:sz w:val="21"/>
    </w:rPr>
  </w:style>
  <w:style w:type="paragraph" w:styleId="7">
    <w:name w:val="List Number 5"/>
    <w:basedOn w:val="1"/>
    <w:uiPriority w:val="0"/>
    <w:pPr>
      <w:numPr>
        <w:ilvl w:val="0"/>
        <w:numId w:val="1"/>
      </w:numPr>
    </w:pPr>
  </w:style>
  <w:style w:type="paragraph" w:styleId="8">
    <w:name w:val="Body Text First Indent"/>
    <w:basedOn w:val="4"/>
    <w:next w:val="9"/>
    <w:qFormat/>
    <w:uiPriority w:val="99"/>
    <w:pPr>
      <w:ind w:firstLine="420" w:firstLineChars="100"/>
    </w:pPr>
    <w:rPr>
      <w:rFonts w:ascii="宋体"/>
    </w:rPr>
  </w:style>
  <w:style w:type="paragraph" w:styleId="9">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2024-12-16T09:34:00Z</dcterms:created>
  <dc:creator>doit</dc:creator>
  <cp:lastModifiedBy>doit</cp:lastModifiedBy>
  <dcterms:modified xsi:type="dcterms:W3CDTF">2024-12-16T09:34:15Z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61B41457F74642E2A3E464FCE76825D1_11</vt:lpwstr>
  </property>
</Properties>
</file>