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版本号：GWZC-2024-249（ZR20GN2025-CS-003）20250224001</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（服务类）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西安浐灞国际港导向标识设计制作及其他附属项目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GWZC-2024-249（ZR20GN2025-CS-003）</w:t>
      </w:r>
      <w:r>
        <w:br/>
      </w:r>
      <w:r>
        <w:br/>
      </w:r>
      <w:r>
        <w:br/>
      </w:r>
    </w:p>
    <w:p>
      <w:pPr>
        <w:pStyle w:val="null3"/>
        <w:jc w:val="center"/>
        <w:outlineLvl w:val="2"/>
      </w:pPr>
      <w:r>
        <w:rPr>
          <w:rFonts w:ascii="仿宋_GB2312" w:hAnsi="仿宋_GB2312" w:cs="仿宋_GB2312" w:eastAsia="仿宋_GB2312"/>
          <w:sz w:val="28"/>
          <w:b/>
        </w:rPr>
        <w:t>西安浐灞国际港党政办公室</w:t>
      </w:r>
    </w:p>
    <w:p>
      <w:pPr>
        <w:pStyle w:val="null3"/>
        <w:jc w:val="center"/>
        <w:outlineLvl w:val="2"/>
      </w:pPr>
      <w:r>
        <w:rPr>
          <w:rFonts w:ascii="仿宋_GB2312" w:hAnsi="仿宋_GB2312" w:cs="仿宋_GB2312" w:eastAsia="仿宋_GB2312"/>
          <w:sz w:val="28"/>
          <w:b/>
        </w:rPr>
        <w:t>陕西中润国际招标有限公司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2025年02月24日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陕西中润国际招标有限公司</w:t>
      </w:r>
      <w:r>
        <w:rPr>
          <w:rFonts w:ascii="仿宋_GB2312" w:hAnsi="仿宋_GB2312" w:cs="仿宋_GB2312" w:eastAsia="仿宋_GB2312"/>
        </w:rPr>
        <w:t>（以下简称“代理机构”）受</w:t>
      </w:r>
      <w:r>
        <w:rPr>
          <w:rFonts w:ascii="仿宋_GB2312" w:hAnsi="仿宋_GB2312" w:cs="仿宋_GB2312" w:eastAsia="仿宋_GB2312"/>
        </w:rPr>
        <w:t>西安浐灞国际港党政办公室</w:t>
      </w:r>
      <w:r>
        <w:rPr>
          <w:rFonts w:ascii="仿宋_GB2312" w:hAnsi="仿宋_GB2312" w:cs="仿宋_GB2312" w:eastAsia="仿宋_GB2312"/>
        </w:rPr>
        <w:t>委托，拟对</w:t>
      </w:r>
      <w:r>
        <w:rPr>
          <w:rFonts w:ascii="仿宋_GB2312" w:hAnsi="仿宋_GB2312" w:cs="仿宋_GB2312" w:eastAsia="仿宋_GB2312"/>
        </w:rPr>
        <w:t>西安浐灞国际港导向标识设计制作及其他附属项目</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一、项目编号：</w:t>
      </w:r>
      <w:r>
        <w:rPr>
          <w:rFonts w:ascii="仿宋_GB2312" w:hAnsi="仿宋_GB2312" w:cs="仿宋_GB2312" w:eastAsia="仿宋_GB2312"/>
          <w:sz w:val="28"/>
          <w:b/>
        </w:rPr>
        <w:t>GWZC-2024-249（ZR20GN2025-CS-003）</w:t>
      </w:r>
    </w:p>
    <w:p>
      <w:pPr>
        <w:pStyle w:val="null3"/>
        <w:outlineLvl w:val="2"/>
      </w:pPr>
      <w:r>
        <w:rPr>
          <w:rFonts w:ascii="仿宋_GB2312" w:hAnsi="仿宋_GB2312" w:cs="仿宋_GB2312" w:eastAsia="仿宋_GB2312"/>
          <w:sz w:val="28"/>
          <w:b/>
        </w:rPr>
        <w:t>二、项目名称：</w:t>
      </w:r>
      <w:r>
        <w:rPr>
          <w:rFonts w:ascii="仿宋_GB2312" w:hAnsi="仿宋_GB2312" w:cs="仿宋_GB2312" w:eastAsia="仿宋_GB2312"/>
          <w:sz w:val="28"/>
          <w:b/>
        </w:rPr>
        <w:t>西安浐灞国际港导向标识设计制作及其他附属项目</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本项目主要服务内容包括西安浐灞国际港导向标识设计制作及其他附属项目。包括综合楼各办公室、会议室布置；门牌号、人员去向牌、楼层导引牌、原有机构标识标牌等进行设计优化、清理、换新等服务。</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采购包1（西安浐灞国际港导向标识设计制作及其他附属项目）：属于专门面向中小企业采购。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1、法定代表人授权委托书：法定代表人参加竞争性磋商的，须出示身份证；法定代表人授权他人参加竞争性磋商的，须提供法定代表人授权委托书及被授权人身份证；</w:t>
      </w:r>
    </w:p>
    <w:p>
      <w:pPr>
        <w:pStyle w:val="null3"/>
      </w:pPr>
      <w:r>
        <w:rPr>
          <w:rFonts w:ascii="仿宋_GB2312" w:hAnsi="仿宋_GB2312" w:cs="仿宋_GB2312" w:eastAsia="仿宋_GB2312"/>
        </w:rPr>
        <w:t>2、信用记录：供应商在递交竞争性磋商响应文件截止时间前被“信用中国”网站（www.creditchina.gov.cn）和中国政府采购网（www.ccgp.gov.cn）上被列入失信被执行人、重大税收违法失信主体、政府采购严重违法失信行为记录名单的，不得参加磋商；</w:t>
      </w:r>
    </w:p>
    <w:p>
      <w:pPr>
        <w:pStyle w:val="null3"/>
      </w:pPr>
      <w:r>
        <w:rPr>
          <w:rFonts w:ascii="仿宋_GB2312" w:hAnsi="仿宋_GB2312" w:cs="仿宋_GB2312" w:eastAsia="仿宋_GB2312"/>
        </w:rPr>
        <w:t>3、联合体：本项目不接受联合体竞争性磋商。</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jc w:val="left"/>
      </w:pPr>
      <w:r>
        <w:rPr>
          <w:rFonts w:ascii="仿宋_GB2312" w:hAnsi="仿宋_GB2312" w:cs="仿宋_GB2312" w:eastAsia="仿宋_GB2312"/>
        </w:rPr>
        <w:t xml:space="preserve"> 注：获取的磋商文件主体格式包括pdf、word两种格式版本，其中以pdf格式为准。</w:t>
      </w:r>
    </w:p>
    <w:p>
      <w:pPr>
        <w:pStyle w:val="null3"/>
        <w:outlineLvl w:val="2"/>
      </w:pPr>
      <w:r>
        <w:rPr>
          <w:rFonts w:ascii="仿宋_GB2312" w:hAnsi="仿宋_GB2312" w:cs="仿宋_GB2312" w:eastAsia="仿宋_GB2312"/>
          <w:sz w:val="28"/>
          <w:b/>
        </w:rPr>
        <w:t>八、首次响应文件提交截止时间及开启时间、地点、方式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成交结果、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西安浐灞国际港党政办公室</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西安市浐灞国际港港务大道6号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马老师</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029-83521125</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陕西中润国际招标有限公司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西安市高新区唐延路1号旺座国际城A座12楼</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张经理 王经理</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029-88825655</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西安浐灞国际港财政金融局</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袁老师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029-83521198</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采购包1：660,000.00元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产品属于节能产品政府采购品目清单中应强制采购的产品范围，供应商应当提供国家确定的认证机构出具的、处于有效期之内的节能产品认证证书，否则作无效响应处理。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产品属于环境标志产品政府采购品目清单中应优先采购的产品范围，评审得分相同的，按供应商提供的优先采购产品认证证书数量由多到少顺序排列。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缴交方式：否</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提交首次响应文件的截止之日起不少于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代理服务费收费标准：：1、成交单位在领取成交通知书前，须向采购代理机构支付服务费。 2、服务费由采购人与采购代理机构约定：参照《国家计委关于印发&lt;招标代理服务收费管理暂行办法&gt;的通知》（计价格[2002]1980号）和《关于招标代理服务收费有关问题的通知》（发改办价格『2003』857号）规定按标准收取，若按照标准收取不足6000元，按6000元计取。3、成交单位的代理服务费交纳信息 银行户名：陕西中润国际招标有限公司 开户银行：中信银行西安雁塔西路支行 账 号：7251310182600086350 联 系 人：李帆 联系电话：029-87321229</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出现下列情形之一的，采购人或者代理机构应当中止电子化采购活动，并保留相关证明材料备查： </w:t>
            </w:r>
          </w:p>
          <w:p>
            <w:pPr>
              <w:pStyle w:val="null3"/>
            </w:pPr>
            <w:r>
              <w:rPr>
                <w:rFonts w:ascii="仿宋_GB2312" w:hAnsi="仿宋_GB2312" w:cs="仿宋_GB2312" w:eastAsia="仿宋_GB2312"/>
              </w:rPr>
              <w:t>（一）交易系统发生故障（包括感染病毒、应用或数据库出错）而无法正常使用的；</w:t>
            </w:r>
          </w:p>
          <w:p>
            <w:pPr>
              <w:pStyle w:val="null3"/>
            </w:pPr>
            <w:r>
              <w:rPr>
                <w:rFonts w:ascii="仿宋_GB2312" w:hAnsi="仿宋_GB2312" w:cs="仿宋_GB2312" w:eastAsia="仿宋_GB2312"/>
              </w:rPr>
              <w:t>（二）因组织场所停电、断网等原因，导致采购活动无法继续通过交易系统实施的；</w:t>
            </w:r>
          </w:p>
          <w:p>
            <w:pPr>
              <w:pStyle w:val="null3"/>
            </w:pPr>
            <w:r>
              <w:rPr>
                <w:rFonts w:ascii="仿宋_GB2312" w:hAnsi="仿宋_GB2312" w:cs="仿宋_GB2312" w:eastAsia="仿宋_GB2312"/>
              </w:rPr>
              <w:t>（三）其他无法保证电子化交易的公平、公正和安全的情况。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西安浐灞国际港党政办公室</w:t>
      </w:r>
      <w:r>
        <w:rPr>
          <w:rFonts w:ascii="仿宋_GB2312" w:hAnsi="仿宋_GB2312" w:cs="仿宋_GB2312" w:eastAsia="仿宋_GB2312"/>
        </w:rPr>
        <w:t>和</w:t>
      </w:r>
      <w:r>
        <w:rPr>
          <w:rFonts w:ascii="仿宋_GB2312" w:hAnsi="仿宋_GB2312" w:cs="仿宋_GB2312" w:eastAsia="仿宋_GB2312"/>
        </w:rPr>
        <w:t>陕西中润国际招标有限公司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西安浐灞国际港党政办公室</w:t>
      </w:r>
      <w:r>
        <w:rPr>
          <w:rFonts w:ascii="仿宋_GB2312" w:hAnsi="仿宋_GB2312" w:cs="仿宋_GB2312" w:eastAsia="仿宋_GB2312"/>
        </w:rPr>
        <w:t>负责解释。除上述磋商文件内容，其他内容由</w:t>
      </w:r>
      <w:r>
        <w:rPr>
          <w:rFonts w:ascii="仿宋_GB2312" w:hAnsi="仿宋_GB2312" w:cs="仿宋_GB2312" w:eastAsia="仿宋_GB2312"/>
        </w:rPr>
        <w:t>陕西中润国际招标有限公司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w:t>
      </w:r>
      <w:r>
        <w:rPr>
          <w:rFonts w:ascii="仿宋_GB2312" w:hAnsi="仿宋_GB2312" w:cs="仿宋_GB2312" w:eastAsia="仿宋_GB2312"/>
        </w:rPr>
        <w:t>西安浐灞国际港党政办公室</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陕西中润国际招标有限公司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3"/>
      </w:pPr>
      <w:r>
        <w:rPr>
          <w:rFonts w:ascii="仿宋_GB2312" w:hAnsi="仿宋_GB2312" w:cs="仿宋_GB2312" w:eastAsia="仿宋_GB2312"/>
          <w:sz w:val="24"/>
          <w:b/>
        </w:rPr>
        <w:t xml:space="preserve"> 2.2.3响应费用（实质性要求）</w:t>
      </w:r>
    </w:p>
    <w:p>
      <w:pPr>
        <w:pStyle w:val="null3"/>
        <w:ind w:firstLine="480"/>
      </w:pPr>
      <w:r>
        <w:rPr>
          <w:rFonts w:ascii="仿宋_GB2312" w:hAnsi="仿宋_GB2312" w:cs="仿宋_GB2312" w:eastAsia="仿宋_GB2312"/>
        </w:rPr>
        <w:t>供应商应自行承担参加竞争性磋商采购活动的全部费用。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 xml:space="preserve"> 2.3.1磋商文件的构成</w:t>
      </w:r>
    </w:p>
    <w:p>
      <w:pPr>
        <w:pStyle w:val="null3"/>
        <w:ind w:firstLine="480"/>
      </w:pPr>
      <w:r>
        <w:rPr>
          <w:rFonts w:ascii="仿宋_GB2312" w:hAnsi="仿宋_GB2312" w:cs="仿宋_GB2312" w:eastAsia="仿宋_GB2312"/>
        </w:rPr>
        <w:t xml:space="preserve"> 一、磋商文件是供应商准备响应文件和参加响应的依据，同时也是评审的重要依据。磋商文件用以阐明磋商项目所需的资质、技术、服务及报价等要求、磋商程序、有关规定和注意事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 xml:space="preserve"> 2.3.2磋商文件的澄清和修改</w:t>
      </w:r>
    </w:p>
    <w:p>
      <w:pPr>
        <w:pStyle w:val="null3"/>
        <w:ind w:firstLine="480"/>
      </w:pPr>
      <w:r>
        <w:rPr>
          <w:rFonts w:ascii="仿宋_GB2312" w:hAnsi="仿宋_GB2312" w:cs="仿宋_GB2312" w:eastAsia="仿宋_GB2312"/>
        </w:rPr>
        <w:t>一、在提交首次响应文件截止时间前，采购人或者代理机构可以对已发出的磋商文件进行必要的澄清或者修改。</w:t>
      </w:r>
    </w:p>
    <w:p>
      <w:pPr>
        <w:pStyle w:val="null3"/>
        <w:ind w:firstLine="480"/>
        <w:jc w:val="left"/>
      </w:pPr>
      <w:r>
        <w:rPr>
          <w:rFonts w:ascii="仿宋_GB2312" w:hAnsi="仿宋_GB2312" w:cs="仿宋_GB2312" w:eastAsia="仿宋_GB2312"/>
        </w:rPr>
        <w:t xml:space="preserve"> 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 xml:space="preserve"> 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存在前述情形，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 xml:space="preserve"> 2.4.6响应文件格式</w:t>
      </w:r>
    </w:p>
    <w:p>
      <w:pPr>
        <w:pStyle w:val="null3"/>
        <w:ind w:firstLine="480"/>
      </w:pPr>
      <w:r>
        <w:rPr>
          <w:rFonts w:ascii="仿宋_GB2312" w:hAnsi="仿宋_GB2312" w:cs="仿宋_GB2312" w:eastAsia="仿宋_GB2312"/>
        </w:rPr>
        <w:t>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 xml:space="preserve"> 一、供应商的报价是供应商响应磋商项目要求的全部工作内容的价格体现，包括供应商完成本项目所需的一切费用。</w:t>
      </w:r>
    </w:p>
    <w:p>
      <w:pPr>
        <w:pStyle w:val="null3"/>
        <w:ind w:firstLine="480"/>
      </w:pPr>
      <w:r>
        <w:rPr>
          <w:rFonts w:ascii="仿宋_GB2312" w:hAnsi="仿宋_GB2312" w:cs="仿宋_GB2312" w:eastAsia="仿宋_GB2312"/>
        </w:rPr>
        <w:t xml:space="preserve"> 二、响应文件报价出现前后不一致的，按照磋商文件第六章磋商办法规定予以修正，修正后的报价经供应商通过项目电子化交易系统进行确认，并加盖供应商（法定名称）电子印章，供应商逾时确认的，其响应无效。</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三、供应商完成响应文件编制后，应按照响应文件第1章明确的签章要求，使用互认的证书及签章对响应文件进行电子签章和加密。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一、供应商应当在提交首次响应文件截止时间前，通过项目电子化交易系统完成响应文件提交。</w:t>
      </w:r>
    </w:p>
    <w:p>
      <w:pPr>
        <w:pStyle w:val="null3"/>
        <w:ind w:firstLine="480"/>
      </w:pPr>
      <w:r>
        <w:rPr>
          <w:rFonts w:ascii="仿宋_GB2312" w:hAnsi="仿宋_GB2312" w:cs="仿宋_GB2312" w:eastAsia="仿宋_GB2312"/>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jc w:val="left"/>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一、采购人应在成交通知书发出之日起三十日内与成交供应商签订采购合同。</w:t>
      </w:r>
    </w:p>
    <w:p>
      <w:pPr>
        <w:pStyle w:val="null3"/>
        <w:ind w:firstLine="480"/>
      </w:pPr>
      <w:r>
        <w:rPr>
          <w:rFonts w:ascii="仿宋_GB2312" w:hAnsi="仿宋_GB2312" w:cs="仿宋_GB2312" w:eastAsia="仿宋_GB2312"/>
        </w:rPr>
        <w:t>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成交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rFonts w:ascii="仿宋_GB2312" w:hAnsi="仿宋_GB2312" w:cs="仿宋_GB2312" w:eastAsia="仿宋_GB2312"/>
        </w:rPr>
        <w:t>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符合国家法律法规规定的标准、竞争性磋商文件和成交供应商竞争性磋商响应文件所要求的技术标准。</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八、未按照磋商文件确定的事项签订政府采购合同；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供应商有上述情形的，按照规定追究法律责任，具有前述一至十一条情形之一的，其响应文件无效，或取消被确认为成交供应商的资格或认定成交无效。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 xml:space="preserve"> 2.7.3采购人员及相关人员回避要求</w:t>
      </w:r>
    </w:p>
    <w:p>
      <w:pPr>
        <w:pStyle w:val="null3"/>
        <w:ind w:firstLine="480"/>
      </w:pPr>
      <w:r>
        <w:rPr>
          <w:rFonts w:ascii="仿宋_GB2312" w:hAnsi="仿宋_GB2312" w:cs="仿宋_GB2312" w:eastAsia="仿宋_GB2312"/>
        </w:rPr>
        <w:t>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根据委托代理协议约定，供应商对采购文件中采购需求的询问、质疑由 </w:t>
      </w:r>
      <w:r>
        <w:rPr>
          <w:rFonts w:ascii="仿宋_GB2312" w:hAnsi="仿宋_GB2312" w:cs="仿宋_GB2312" w:eastAsia="仿宋_GB2312"/>
        </w:rPr>
        <w:t>陕西中润国际招标有限公司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陕西中润国际招标有限公司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陕西中润国际招标有限公司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磋商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jc w:val="left"/>
      </w:pPr>
      <w:r>
        <w:rPr>
          <w:rFonts w:ascii="仿宋_GB2312" w:hAnsi="仿宋_GB2312" w:cs="仿宋_GB2312" w:eastAsia="仿宋_GB2312"/>
        </w:rPr>
        <w:t xml:space="preserve"> （一）对可以质疑的采购文件提出质疑的，为收到采购文件之日或者采购文件公告期限届满之日；</w:t>
      </w:r>
    </w:p>
    <w:p>
      <w:pPr>
        <w:pStyle w:val="null3"/>
        <w:ind w:firstLine="480"/>
        <w:jc w:val="left"/>
      </w:pPr>
      <w:r>
        <w:rPr>
          <w:rFonts w:ascii="仿宋_GB2312" w:hAnsi="仿宋_GB2312" w:cs="仿宋_GB2312" w:eastAsia="仿宋_GB2312"/>
        </w:rPr>
        <w:t>（二）对采购过程提出质疑的，为各采购程序环节结束之日；</w:t>
      </w:r>
    </w:p>
    <w:p>
      <w:pPr>
        <w:pStyle w:val="null3"/>
        <w:ind w:firstLine="480"/>
        <w:jc w:val="left"/>
      </w:pPr>
      <w:r>
        <w:rPr>
          <w:rFonts w:ascii="仿宋_GB2312" w:hAnsi="仿宋_GB2312" w:cs="仿宋_GB2312" w:eastAsia="仿宋_GB2312"/>
        </w:rPr>
        <w:t xml:space="preserve"> （三）对中标或者成交结果提出质疑的，为中标或者成交结果公告期限届满之日。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ind w:firstLine="480"/>
      </w:pPr>
      <w:r>
        <w:rPr>
          <w:rFonts w:ascii="仿宋_GB2312" w:hAnsi="仿宋_GB2312" w:cs="仿宋_GB2312" w:eastAsia="仿宋_GB2312"/>
        </w:rPr>
        <w:t>接收质疑函方式：书面形式。</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联系人：张经理 王经理</w:t>
      </w:r>
    </w:p>
    <w:p>
      <w:pPr>
        <w:pStyle w:val="null3"/>
      </w:pPr>
      <w:r>
        <w:rPr>
          <w:rFonts w:ascii="仿宋_GB2312" w:hAnsi="仿宋_GB2312" w:cs="仿宋_GB2312" w:eastAsia="仿宋_GB2312"/>
        </w:rPr>
        <w:t>联系电话：029-88825655</w:t>
      </w:r>
    </w:p>
    <w:p>
      <w:pPr>
        <w:pStyle w:val="null3"/>
      </w:pPr>
      <w:r>
        <w:rPr>
          <w:rFonts w:ascii="仿宋_GB2312" w:hAnsi="仿宋_GB2312" w:cs="仿宋_GB2312" w:eastAsia="仿宋_GB2312"/>
        </w:rPr>
        <w:t>地址：西安市高新区唐延路1号旺座国际城A座12楼</w:t>
      </w:r>
    </w:p>
    <w:p>
      <w:pPr>
        <w:pStyle w:val="null3"/>
      </w:pPr>
      <w:r>
        <w:rPr>
          <w:rFonts w:ascii="仿宋_GB2312" w:hAnsi="仿宋_GB2312" w:cs="仿宋_GB2312" w:eastAsia="仿宋_GB2312"/>
        </w:rPr>
        <w:t>邮编：710000</w:t>
      </w:r>
    </w:p>
    <w:p>
      <w:pPr>
        <w:pStyle w:val="null3"/>
        <w:ind w:firstLine="480"/>
      </w:pPr>
      <w:r>
        <w:rPr>
          <w:rFonts w:ascii="仿宋_GB2312" w:hAnsi="仿宋_GB2312" w:cs="仿宋_GB2312" w:eastAsia="仿宋_GB2312"/>
        </w:rPr>
        <w:t>注：根据《中华人民共和国政府采购法》的规定，供应商质疑不得超出磋商文件、采购过程、采购结果的范围。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本项目主要服务内容包括西安浐灞国际港导向标识设计制作及其他附属项目。包括综合楼各办公室、会议室布置；门牌号、人员去向牌、楼层导引牌、原有机构标识标牌等进行设计优化、清理、换新等服务。</w:t>
      </w:r>
    </w:p>
    <w:p>
      <w:pPr>
        <w:pStyle w:val="null3"/>
        <w:outlineLvl w:val="2"/>
      </w:pPr>
      <w:r>
        <w:rPr>
          <w:rFonts w:ascii="仿宋_GB2312" w:hAnsi="仿宋_GB2312" w:cs="仿宋_GB2312" w:eastAsia="仿宋_GB2312"/>
          <w:sz w:val="28"/>
          <w:b/>
        </w:rPr>
        <w:t>3.2服务内容及服务要求</w:t>
      </w:r>
    </w:p>
    <w:p>
      <w:pPr>
        <w:pStyle w:val="null3"/>
        <w:outlineLvl w:val="3"/>
      </w:pPr>
      <w:r>
        <w:rPr>
          <w:rFonts w:ascii="仿宋_GB2312" w:hAnsi="仿宋_GB2312" w:cs="仿宋_GB2312" w:eastAsia="仿宋_GB2312"/>
          <w:sz w:val="24"/>
          <w:b/>
        </w:rPr>
        <w:t>3.2.1服务内容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660,000.00</w:t>
      </w:r>
    </w:p>
    <w:p>
      <w:pPr>
        <w:pStyle w:val="null3"/>
      </w:pPr>
      <w:r>
        <w:rPr>
          <w:rFonts w:ascii="仿宋_GB2312" w:hAnsi="仿宋_GB2312" w:cs="仿宋_GB2312" w:eastAsia="仿宋_GB2312"/>
        </w:rPr>
        <w:t>采购包最高限价（元）: 660,000.00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西安浐灞国际港导向标识设计制作及其他附属项目</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660,000.00</w:t>
            </w:r>
          </w:p>
        </w:tc>
        <w:tc>
          <w:tcPr>
            <w:tcW w:type="dxa" w:w="831"/>
          </w:tcPr>
          <w:p>
            <w:pPr>
              <w:pStyle w:val="null3"/>
            </w:pPr>
            <w:r>
              <w:rPr>
                <w:rFonts w:ascii="仿宋_GB2312" w:hAnsi="仿宋_GB2312" w:cs="仿宋_GB2312" w:eastAsia="仿宋_GB2312"/>
              </w:rPr>
              <w:t>项</w:t>
            </w:r>
          </w:p>
        </w:tc>
        <w:tc>
          <w:tcPr>
            <w:tcW w:type="dxa" w:w="831"/>
          </w:tcPr>
          <w:p>
            <w:pPr>
              <w:pStyle w:val="null3"/>
            </w:pPr>
            <w:r>
              <w:rPr>
                <w:rFonts w:ascii="仿宋_GB2312" w:hAnsi="仿宋_GB2312" w:cs="仿宋_GB2312" w:eastAsia="仿宋_GB2312"/>
              </w:rPr>
              <w:t>租赁和商务服务业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3.2.2服务要求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p>
      <w:pPr>
        <w:pStyle w:val="null3"/>
      </w:pPr>
      <w:r>
        <w:rPr>
          <w:rFonts w:ascii="仿宋_GB2312" w:hAnsi="仿宋_GB2312" w:cs="仿宋_GB2312" w:eastAsia="仿宋_GB2312"/>
        </w:rPr>
        <w:t>标的名称：西安浐灞国际港导向标识设计制作及其他附属项目</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rFonts w:ascii="仿宋_GB2312" w:hAnsi="仿宋_GB2312" w:cs="仿宋_GB2312" w:eastAsia="仿宋_GB2312"/>
              </w:rPr>
              <w:t xml:space="preserve"> 参数性质</w:t>
            </w:r>
          </w:p>
        </w:tc>
        <w:tc>
          <w:tcPr>
            <w:tcW w:type="dxa" w:w="2076"/>
          </w:tcPr>
          <w:p>
            <w:pPr>
              <w:pStyle w:val="null3"/>
            </w:pPr>
            <w:r>
              <w:rPr>
                <w:rFonts w:ascii="仿宋_GB2312" w:hAnsi="仿宋_GB2312" w:cs="仿宋_GB2312" w:eastAsia="仿宋_GB2312"/>
              </w:rPr>
              <w:t xml:space="preserve"> 序号</w:t>
            </w:r>
          </w:p>
        </w:tc>
        <w:tc>
          <w:tcPr>
            <w:tcW w:type="dxa" w:w="2076"/>
          </w:tcPr>
          <w:p>
            <w:pPr>
              <w:pStyle w:val="null3"/>
            </w:pPr>
            <w:r>
              <w:rPr>
                <w:rFonts w:ascii="仿宋_GB2312" w:hAnsi="仿宋_GB2312" w:cs="仿宋_GB2312" w:eastAsia="仿宋_GB2312"/>
              </w:rPr>
              <w:t xml:space="preserve"> 技术要求名称</w:t>
            </w:r>
          </w:p>
        </w:tc>
        <w:tc>
          <w:tcPr>
            <w:tcW w:type="dxa" w:w="2076"/>
          </w:tcPr>
          <w:p>
            <w:pPr>
              <w:pStyle w:val="null3"/>
            </w:pPr>
            <w:r>
              <w:rPr>
                <w:rFonts w:ascii="仿宋_GB2312" w:hAnsi="仿宋_GB2312" w:cs="仿宋_GB2312" w:eastAsia="仿宋_GB2312"/>
              </w:rPr>
              <w:t xml:space="preserve"> 技术参数与性能指标</w:t>
            </w:r>
          </w:p>
        </w:tc>
      </w:tr>
      <w:tr>
        <w:tc>
          <w:tcPr>
            <w:tcW w:type="dxa" w:w="2076"/>
          </w:tcPr>
          <w:p/>
        </w:tc>
        <w:tc>
          <w:tcPr>
            <w:tcW w:type="dxa" w:w="2076"/>
          </w:tcPr>
          <w:p>
            <w:pPr>
              <w:pStyle w:val="null3"/>
            </w:pPr>
            <w:r>
              <w:rPr>
                <w:rFonts w:ascii="仿宋_GB2312" w:hAnsi="仿宋_GB2312" w:cs="仿宋_GB2312" w:eastAsia="仿宋_GB2312"/>
              </w:rPr>
              <w:t>1</w:t>
            </w:r>
          </w:p>
        </w:tc>
        <w:tc>
          <w:tcPr>
            <w:tcW w:type="dxa" w:w="2076"/>
          </w:tcPr>
          <w:p/>
        </w:tc>
        <w:tc>
          <w:tcPr>
            <w:tcW w:type="dxa" w:w="2076"/>
          </w:tcPr>
          <w:p>
            <w:pPr>
              <w:pStyle w:val="null3"/>
            </w:pPr>
            <w:r>
              <w:rPr>
                <w:rFonts w:ascii="仿宋_GB2312" w:hAnsi="仿宋_GB2312" w:cs="仿宋_GB2312" w:eastAsia="仿宋_GB2312"/>
              </w:rPr>
              <w:t>1.</w:t>
            </w:r>
            <w:r>
              <w:rPr>
                <w:rFonts w:ascii="仿宋_GB2312" w:hAnsi="仿宋_GB2312" w:cs="仿宋_GB2312" w:eastAsia="仿宋_GB2312"/>
              </w:rPr>
              <w:t>服务内容：本项目主要服务内容包括西安浐灞国际港导向标识设计制作及其他附属项目。包括</w:t>
            </w:r>
            <w:r>
              <w:rPr>
                <w:rFonts w:ascii="仿宋_GB2312" w:hAnsi="仿宋_GB2312" w:cs="仿宋_GB2312" w:eastAsia="仿宋_GB2312"/>
              </w:rPr>
              <w:t>综合楼各办公室、会议室布置</w:t>
            </w:r>
            <w:r>
              <w:rPr>
                <w:rFonts w:ascii="仿宋_GB2312" w:hAnsi="仿宋_GB2312" w:cs="仿宋_GB2312" w:eastAsia="仿宋_GB2312"/>
              </w:rPr>
              <w:t>；</w:t>
            </w:r>
            <w:r>
              <w:rPr>
                <w:rFonts w:ascii="仿宋_GB2312" w:hAnsi="仿宋_GB2312" w:cs="仿宋_GB2312" w:eastAsia="仿宋_GB2312"/>
              </w:rPr>
              <w:t>门牌号、人员去向牌、楼层导引牌、原有机构标识标牌等进行</w:t>
            </w:r>
            <w:r>
              <w:rPr>
                <w:rFonts w:ascii="仿宋_GB2312" w:hAnsi="仿宋_GB2312" w:cs="仿宋_GB2312" w:eastAsia="仿宋_GB2312"/>
              </w:rPr>
              <w:t>设计</w:t>
            </w:r>
            <w:r>
              <w:rPr>
                <w:rFonts w:ascii="仿宋_GB2312" w:hAnsi="仿宋_GB2312" w:cs="仿宋_GB2312" w:eastAsia="仿宋_GB2312"/>
              </w:rPr>
              <w:t>优化、清理</w:t>
            </w:r>
            <w:r>
              <w:rPr>
                <w:rFonts w:ascii="仿宋_GB2312" w:hAnsi="仿宋_GB2312" w:cs="仿宋_GB2312" w:eastAsia="仿宋_GB2312"/>
              </w:rPr>
              <w:t>、</w:t>
            </w:r>
            <w:r>
              <w:rPr>
                <w:rFonts w:ascii="仿宋_GB2312" w:hAnsi="仿宋_GB2312" w:cs="仿宋_GB2312" w:eastAsia="仿宋_GB2312"/>
              </w:rPr>
              <w:t>换新</w:t>
            </w:r>
            <w:r>
              <w:rPr>
                <w:rFonts w:ascii="仿宋_GB2312" w:hAnsi="仿宋_GB2312" w:cs="仿宋_GB2312" w:eastAsia="仿宋_GB2312"/>
              </w:rPr>
              <w:t>等服务</w:t>
            </w:r>
            <w:r>
              <w:rPr>
                <w:rFonts w:ascii="仿宋_GB2312" w:hAnsi="仿宋_GB2312" w:cs="仿宋_GB2312" w:eastAsia="仿宋_GB2312"/>
              </w:rPr>
              <w:t>。</w:t>
            </w:r>
          </w:p>
          <w:p>
            <w:pPr>
              <w:pStyle w:val="null3"/>
            </w:pPr>
            <w:r>
              <w:rPr>
                <w:rFonts w:ascii="仿宋_GB2312" w:hAnsi="仿宋_GB2312" w:cs="仿宋_GB2312" w:eastAsia="仿宋_GB2312"/>
              </w:rPr>
              <w:t>2.</w:t>
            </w:r>
            <w:r>
              <w:rPr>
                <w:rFonts w:ascii="仿宋_GB2312" w:hAnsi="仿宋_GB2312" w:cs="仿宋_GB2312" w:eastAsia="仿宋_GB2312"/>
              </w:rPr>
              <w:t>服务地点：西安浐灞国际港管理委员会。</w:t>
            </w:r>
          </w:p>
          <w:p>
            <w:pPr>
              <w:pStyle w:val="null3"/>
            </w:pPr>
            <w:r>
              <w:rPr>
                <w:rFonts w:ascii="仿宋_GB2312" w:hAnsi="仿宋_GB2312" w:cs="仿宋_GB2312" w:eastAsia="仿宋_GB2312"/>
              </w:rPr>
              <w:t>3.</w:t>
            </w:r>
            <w:r>
              <w:rPr>
                <w:rFonts w:ascii="仿宋_GB2312" w:hAnsi="仿宋_GB2312" w:cs="仿宋_GB2312" w:eastAsia="仿宋_GB2312"/>
              </w:rPr>
              <w:t>服务期：自合同签订后</w:t>
            </w:r>
            <w:r>
              <w:rPr>
                <w:rFonts w:ascii="仿宋_GB2312" w:hAnsi="仿宋_GB2312" w:cs="仿宋_GB2312" w:eastAsia="仿宋_GB2312"/>
              </w:rPr>
              <w:t>1</w:t>
            </w:r>
            <w:r>
              <w:rPr>
                <w:rFonts w:ascii="仿宋_GB2312" w:hAnsi="仿宋_GB2312" w:cs="仿宋_GB2312" w:eastAsia="仿宋_GB2312"/>
              </w:rPr>
              <w:t>个月。</w:t>
            </w:r>
          </w:p>
          <w:p>
            <w:pPr>
              <w:pStyle w:val="null3"/>
            </w:pPr>
            <w:r>
              <w:rPr>
                <w:rFonts w:ascii="仿宋_GB2312" w:hAnsi="仿宋_GB2312" w:cs="仿宋_GB2312" w:eastAsia="仿宋_GB2312"/>
              </w:rPr>
              <w:t>4.</w:t>
            </w:r>
            <w:r>
              <w:rPr>
                <w:rFonts w:ascii="仿宋_GB2312" w:hAnsi="仿宋_GB2312" w:cs="仿宋_GB2312" w:eastAsia="仿宋_GB2312"/>
              </w:rPr>
              <w:t>质保期：交付后</w:t>
            </w:r>
            <w:r>
              <w:rPr>
                <w:rFonts w:ascii="仿宋_GB2312" w:hAnsi="仿宋_GB2312" w:cs="仿宋_GB2312" w:eastAsia="仿宋_GB2312"/>
              </w:rPr>
              <w:t>1</w:t>
            </w:r>
            <w:r>
              <w:rPr>
                <w:rFonts w:ascii="仿宋_GB2312" w:hAnsi="仿宋_GB2312" w:cs="仿宋_GB2312" w:eastAsia="仿宋_GB2312"/>
              </w:rPr>
              <w:t>年。</w:t>
            </w:r>
          </w:p>
          <w:p>
            <w:pPr>
              <w:pStyle w:val="null3"/>
            </w:pPr>
            <w:r>
              <w:rPr>
                <w:rFonts w:ascii="仿宋_GB2312" w:hAnsi="仿宋_GB2312" w:cs="仿宋_GB2312" w:eastAsia="仿宋_GB2312"/>
              </w:rPr>
              <w:t>5.</w:t>
            </w:r>
            <w:r>
              <w:rPr>
                <w:rFonts w:ascii="仿宋_GB2312" w:hAnsi="仿宋_GB2312" w:cs="仿宋_GB2312" w:eastAsia="仿宋_GB2312"/>
              </w:rPr>
              <w:t>清单：</w:t>
            </w:r>
          </w:p>
          <w:tbl>
            <w:tblPr>
              <w:tblInd w:type="dxa" w:w="135"/>
              <w:tblBorders>
                <w:top w:val="none" w:color="000000" w:sz="4"/>
                <w:left w:val="none" w:color="000000" w:sz="4"/>
                <w:bottom w:val="none" w:color="000000" w:sz="4"/>
                <w:right w:val="none" w:color="000000" w:sz="4"/>
                <w:insideH w:val="none"/>
                <w:insideV w:val="none"/>
              </w:tblBorders>
            </w:tblPr>
            <w:tblGrid>
              <w:gridCol w:w="132"/>
              <w:gridCol w:w="191"/>
              <w:gridCol w:w="775"/>
              <w:gridCol w:w="308"/>
              <w:gridCol w:w="210"/>
              <w:gridCol w:w="210"/>
              <w:gridCol w:w="253"/>
              <w:gridCol w:w="226"/>
            </w:tblGrid>
            <w:tr>
              <w:tc>
                <w:tcPr>
                  <w:tcW w:type="dxa" w:w="132"/>
                  <w:vMerge w:val="restart"/>
                  <w:tcBorders>
                    <w:top w:val="single" w:color="000000" w:sz="4"/>
                    <w:left w:val="single" w:color="000000" w:sz="4"/>
                    <w:bottom w:val="non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b/>
                    </w:rPr>
                    <w:t>序号</w:t>
                  </w:r>
                </w:p>
              </w:tc>
              <w:tc>
                <w:tcPr>
                  <w:tcW w:type="dxa" w:w="191"/>
                  <w:vMerge w:val="restart"/>
                  <w:tcBorders>
                    <w:top w:val="singl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b/>
                    </w:rPr>
                    <w:t>制作内容</w:t>
                  </w:r>
                </w:p>
              </w:tc>
              <w:tc>
                <w:tcPr>
                  <w:tcW w:type="dxa" w:w="775"/>
                  <w:vMerge w:val="restart"/>
                  <w:tcBorders>
                    <w:top w:val="singl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b/>
                    </w:rPr>
                    <w:t>工艺说明</w:t>
                  </w:r>
                </w:p>
              </w:tc>
              <w:tc>
                <w:tcPr>
                  <w:tcW w:type="dxa" w:w="308"/>
                  <w:vMerge w:val="restart"/>
                  <w:tcBorders>
                    <w:top w:val="singl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b/>
                    </w:rPr>
                    <w:t>规格（</w:t>
                  </w:r>
                  <w:r>
                    <w:rPr>
                      <w:rFonts w:ascii="仿宋_GB2312" w:hAnsi="仿宋_GB2312" w:cs="仿宋_GB2312" w:eastAsia="仿宋_GB2312"/>
                      <w:sz w:val="18"/>
                      <w:b/>
                    </w:rPr>
                    <w:t>mm）</w:t>
                  </w:r>
                </w:p>
              </w:tc>
              <w:tc>
                <w:tcPr>
                  <w:tcW w:type="dxa" w:w="210"/>
                  <w:vMerge w:val="restart"/>
                  <w:tcBorders>
                    <w:top w:val="singl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b/>
                    </w:rPr>
                    <w:t>数量</w:t>
                  </w:r>
                </w:p>
              </w:tc>
              <w:tc>
                <w:tcPr>
                  <w:tcW w:type="dxa" w:w="210"/>
                  <w:vMerge w:val="restart"/>
                  <w:tcBorders>
                    <w:top w:val="single" w:color="000000" w:sz="4"/>
                    <w:left w:val="none" w:color="000000" w:sz="4"/>
                    <w:bottom w:val="non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b/>
                    </w:rPr>
                    <w:t>单位</w:t>
                  </w:r>
                </w:p>
              </w:tc>
              <w:tc>
                <w:tcPr>
                  <w:tcW w:type="dxa" w:w="253"/>
                  <w:vMerge w:val="restart"/>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b/>
                    </w:rPr>
                    <w:t>备注</w:t>
                  </w:r>
                  <w:r>
                    <w:rPr>
                      <w:rFonts w:ascii="仿宋_GB2312" w:hAnsi="仿宋_GB2312" w:cs="仿宋_GB2312" w:eastAsia="仿宋_GB2312"/>
                      <w:sz w:val="18"/>
                      <w:b/>
                    </w:rPr>
                    <w:t>1</w:t>
                  </w:r>
                </w:p>
              </w:tc>
              <w:tc>
                <w:tcPr>
                  <w:tcW w:type="dxa" w:w="226"/>
                  <w:vMerge w:val="restart"/>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b/>
                    </w:rPr>
                    <w:t>示图</w:t>
                  </w:r>
                </w:p>
              </w:tc>
            </w:tr>
            <w:tr>
              <w:tc>
                <w:tcPr>
                  <w:tcW w:type="dxa" w:w="132"/>
                  <w:vMerge/>
                  <w:tcBorders>
                    <w:top w:val="single" w:color="000000" w:sz="4"/>
                    <w:left w:val="single" w:color="000000" w:sz="4"/>
                    <w:bottom w:val="none" w:color="000000" w:sz="4"/>
                    <w:right w:val="single" w:color="000000" w:sz="4"/>
                  </w:tcBorders>
                </w:tcPr>
                <w:p/>
              </w:tc>
              <w:tc>
                <w:tcPr>
                  <w:tcW w:type="dxa" w:w="191"/>
                  <w:vMerge/>
                  <w:tcBorders>
                    <w:top w:val="single" w:color="000000" w:sz="4"/>
                    <w:left w:val="none" w:color="000000" w:sz="4"/>
                    <w:bottom w:val="none" w:color="000000" w:sz="4"/>
                    <w:right w:val="single" w:color="000000" w:sz="4"/>
                  </w:tcBorders>
                </w:tcPr>
                <w:p/>
              </w:tc>
              <w:tc>
                <w:tcPr>
                  <w:tcW w:type="dxa" w:w="775"/>
                  <w:vMerge/>
                  <w:tcBorders>
                    <w:top w:val="single" w:color="000000" w:sz="4"/>
                    <w:left w:val="none" w:color="000000" w:sz="4"/>
                    <w:bottom w:val="none" w:color="000000" w:sz="4"/>
                    <w:right w:val="single" w:color="000000" w:sz="4"/>
                  </w:tcBorders>
                </w:tcPr>
                <w:p/>
              </w:tc>
              <w:tc>
                <w:tcPr>
                  <w:tcW w:type="dxa" w:w="308"/>
                  <w:vMerge/>
                  <w:tcBorders>
                    <w:top w:val="single" w:color="000000" w:sz="4"/>
                    <w:left w:val="none" w:color="000000" w:sz="4"/>
                    <w:bottom w:val="none" w:color="000000" w:sz="4"/>
                    <w:right w:val="single" w:color="000000" w:sz="4"/>
                  </w:tcBorders>
                </w:tcPr>
                <w:p/>
              </w:tc>
              <w:tc>
                <w:tcPr>
                  <w:tcW w:type="dxa" w:w="210"/>
                  <w:vMerge/>
                  <w:tcBorders>
                    <w:top w:val="single" w:color="000000" w:sz="4"/>
                    <w:left w:val="none" w:color="000000" w:sz="4"/>
                    <w:bottom w:val="none" w:color="000000" w:sz="4"/>
                    <w:right w:val="single" w:color="000000" w:sz="4"/>
                  </w:tcBorders>
                </w:tcPr>
                <w:p/>
              </w:tc>
              <w:tc>
                <w:tcPr>
                  <w:tcW w:type="dxa" w:w="210"/>
                  <w:vMerge/>
                  <w:tcBorders>
                    <w:top w:val="single" w:color="000000" w:sz="4"/>
                    <w:left w:val="none" w:color="000000" w:sz="4"/>
                    <w:bottom w:val="none" w:color="000000" w:sz="4"/>
                    <w:right w:val="single" w:color="000000" w:sz="4"/>
                  </w:tcBorders>
                </w:tcPr>
                <w:p/>
              </w:tc>
              <w:tc>
                <w:tcPr>
                  <w:tcW w:type="dxa" w:w="253"/>
                  <w:vMerge/>
                  <w:tcBorders>
                    <w:top w:val="single" w:color="000000" w:sz="4"/>
                    <w:left w:val="none" w:color="000000" w:sz="4"/>
                    <w:bottom w:val="single" w:color="000000" w:sz="4"/>
                    <w:right w:val="single" w:color="000000" w:sz="4"/>
                  </w:tcBorders>
                </w:tcPr>
                <w:p/>
              </w:tc>
              <w:tc>
                <w:tcPr>
                  <w:tcW w:type="dxa" w:w="226"/>
                  <w:vMerge/>
                  <w:tcBorders>
                    <w:top w:val="single" w:color="000000" w:sz="4"/>
                    <w:left w:val="none" w:color="000000" w:sz="4"/>
                    <w:bottom w:val="single" w:color="000000" w:sz="4"/>
                    <w:right w:val="single" w:color="000000" w:sz="4"/>
                  </w:tcBorders>
                </w:tcPr>
                <w:p/>
              </w:tc>
            </w:tr>
            <w:tr>
              <w:tc>
                <w:tcPr>
                  <w:tcW w:type="dxa" w:w="13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19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楼层索引</w:t>
                  </w:r>
                </w:p>
              </w:tc>
              <w:tc>
                <w:tcPr>
                  <w:tcW w:type="dxa" w:w="77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270*120mm</w:t>
                  </w:r>
                </w:p>
              </w:tc>
              <w:tc>
                <w:tcPr>
                  <w:tcW w:type="dxa" w:w="21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36</w:t>
                  </w:r>
                </w:p>
              </w:tc>
              <w:tc>
                <w:tcPr>
                  <w:tcW w:type="dxa" w:w="21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所有单价为全费用综合单价，包含但不限于拆除及恢复费用、制作费、安装费、到场运费、垃圾外运费、税费等。</w:t>
                  </w:r>
                </w:p>
              </w:tc>
              <w:tc>
                <w:tcPr>
                  <w:tcW w:type="dxa" w:w="226"/>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1</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楼层索引</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外框为</w:t>
                  </w:r>
                  <w:r>
                    <w:rPr>
                      <w:rFonts w:ascii="仿宋_GB2312" w:hAnsi="仿宋_GB2312" w:cs="仿宋_GB2312" w:eastAsia="仿宋_GB2312"/>
                      <w:sz w:val="18"/>
                    </w:rPr>
                    <w:t>8mm304#不锈钢板实心雕刻折弯外框，整体电镀黄古铜；内板为1.2mm304#不锈钢板雕刻折盒造型，电镀拉丝黑钛金；内容板块为1.2mm304#不锈钢板单板电镀拉丝黑钛金可更换卡槽，文字内容为腐蚀填白漆效果；</w:t>
                  </w:r>
                  <w:r>
                    <w:br/>
                  </w:r>
                  <w:r>
                    <w:rPr>
                      <w:rFonts w:ascii="仿宋_GB2312" w:hAnsi="仿宋_GB2312" w:cs="仿宋_GB2312" w:eastAsia="仿宋_GB2312"/>
                      <w:sz w:val="18"/>
                    </w:rPr>
                    <w:t>楼层号为</w:t>
                  </w:r>
                  <w:r>
                    <w:rPr>
                      <w:rFonts w:ascii="仿宋_GB2312" w:hAnsi="仿宋_GB2312" w:cs="仿宋_GB2312" w:eastAsia="仿宋_GB2312"/>
                      <w:sz w:val="18"/>
                    </w:rPr>
                    <w:t>5mm304#不锈钢板雕刻立体实心字,电镀黄古铜；</w:t>
                  </w:r>
                  <w:r>
                    <w:br/>
                  </w:r>
                  <w:r>
                    <w:rPr>
                      <w:rFonts w:ascii="仿宋_GB2312" w:hAnsi="仿宋_GB2312" w:cs="仿宋_GB2312" w:eastAsia="仿宋_GB2312"/>
                      <w:sz w:val="18"/>
                    </w:rPr>
                    <w:t>logo为单板腐蚀填专色漆。</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546*75mm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391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总索引</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230*110mm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总索引</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外框为</w:t>
                  </w:r>
                  <w:r>
                    <w:rPr>
                      <w:rFonts w:ascii="仿宋_GB2312" w:hAnsi="仿宋_GB2312" w:cs="仿宋_GB2312" w:eastAsia="仿宋_GB2312"/>
                      <w:sz w:val="18"/>
                    </w:rPr>
                    <w:t>8mm304#不锈钢板实心雕刻折弯外框，整体电镀黄古铜；</w:t>
                  </w:r>
                  <w:r>
                    <w:br/>
                  </w:r>
                  <w:r>
                    <w:rPr>
                      <w:rFonts w:ascii="仿宋_GB2312" w:hAnsi="仿宋_GB2312" w:cs="仿宋_GB2312" w:eastAsia="仿宋_GB2312"/>
                      <w:sz w:val="18"/>
                    </w:rPr>
                    <w:t>内板为</w:t>
                  </w:r>
                  <w:r>
                    <w:rPr>
                      <w:rFonts w:ascii="仿宋_GB2312" w:hAnsi="仿宋_GB2312" w:cs="仿宋_GB2312" w:eastAsia="仿宋_GB2312"/>
                      <w:sz w:val="18"/>
                    </w:rPr>
                    <w:t>1.2mm304#不锈钢板雕刻折盒造型，电镀拉丝黑钛金；</w:t>
                  </w:r>
                  <w:r>
                    <w:br/>
                  </w:r>
                  <w:r>
                    <w:rPr>
                      <w:rFonts w:ascii="仿宋_GB2312" w:hAnsi="仿宋_GB2312" w:cs="仿宋_GB2312" w:eastAsia="仿宋_GB2312"/>
                      <w:sz w:val="18"/>
                    </w:rPr>
                    <w:t>内容板块为</w:t>
                  </w:r>
                  <w:r>
                    <w:rPr>
                      <w:rFonts w:ascii="仿宋_GB2312" w:hAnsi="仿宋_GB2312" w:cs="仿宋_GB2312" w:eastAsia="仿宋_GB2312"/>
                      <w:sz w:val="18"/>
                    </w:rPr>
                    <w:t>1.2mm304#不锈钢板单板电镀拉丝黑钛金可更换卡槽，文字内容为腐蚀填白漆效果；</w:t>
                  </w:r>
                  <w:r>
                    <w:br/>
                  </w:r>
                  <w:r>
                    <w:rPr>
                      <w:rFonts w:ascii="仿宋_GB2312" w:hAnsi="仿宋_GB2312" w:cs="仿宋_GB2312" w:eastAsia="仿宋_GB2312"/>
                      <w:sz w:val="18"/>
                    </w:rPr>
                    <w:t>楼层号为</w:t>
                  </w:r>
                  <w:r>
                    <w:rPr>
                      <w:rFonts w:ascii="仿宋_GB2312" w:hAnsi="仿宋_GB2312" w:cs="仿宋_GB2312" w:eastAsia="仿宋_GB2312"/>
                      <w:sz w:val="18"/>
                    </w:rPr>
                    <w:t>5mm304#不锈钢板雕刻立体实心字,电镀黄古铜。</w:t>
                  </w:r>
                  <w:r>
                    <w:br/>
                  </w:r>
                  <w:r>
                    <w:rPr>
                      <w:rFonts w:ascii="仿宋_GB2312" w:hAnsi="仿宋_GB2312" w:cs="仿宋_GB2312" w:eastAsia="仿宋_GB2312"/>
                      <w:sz w:val="18"/>
                    </w:rPr>
                    <w:t>logo为单板腐蚀填专色漆。</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728*60mm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60</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5</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车库龙门牌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520*240mm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6</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车库吊牌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360*160mm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20</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7</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车库消防警示牌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270*120mm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12</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8</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车库指引牌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270*120mm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13</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9</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车库电梯指示牌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140*70mm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10</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门牌号</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重新编排，</w:t>
                  </w:r>
                  <w:r>
                    <w:rPr>
                      <w:rFonts w:ascii="仿宋_GB2312" w:hAnsi="仿宋_GB2312" w:cs="仿宋_GB2312" w:eastAsia="仿宋_GB2312"/>
                      <w:sz w:val="18"/>
                    </w:rPr>
                    <w:t>5mm304#不锈钢板雕刻折弯外框，1.2mm304#不锈钢板雕刻折盒造型，烤漆黑色，文字内容为5mm不锈钢板雕刻立体实心字</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120*240mm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285</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11</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消防疏散图</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160*80mm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39</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12</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卫生间门牌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140*70mm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25</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13</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禁止吸烟标牌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110*50mm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83</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14</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卫生间指示牌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110*50mm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16</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15</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生态大厅指示牌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110*50mm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16</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多功能大厅指示牌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210*100mm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17</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卫生间指示吊牌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120*60mm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7</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18</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电梯标识牌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110*50mm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19</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通道指引吊牌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2㎜亚克力倒边抛光，背喷UV，背贴3M 。（贴LOGO)</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120*60mm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20</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更换盥洗室牌子</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5mm304#不锈钢板雕刻折弯外框，1.2mm304#不锈钢板雕刻折盒造型，烤漆黑色，文字内容为3mm不锈钢板雕刻立体实心字。</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80*40mm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10</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21</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楼层指引吊牌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外框为</w:t>
                  </w:r>
                  <w:r>
                    <w:rPr>
                      <w:rFonts w:ascii="仿宋_GB2312" w:hAnsi="仿宋_GB2312" w:cs="仿宋_GB2312" w:eastAsia="仿宋_GB2312"/>
                      <w:sz w:val="18"/>
                    </w:rPr>
                    <w:t>8mm304#不锈钢板实心雕刻折弯外框，烤漆黑色金属漆；</w:t>
                  </w:r>
                  <w:r>
                    <w:br/>
                  </w:r>
                  <w:r>
                    <w:rPr>
                      <w:rFonts w:ascii="仿宋_GB2312" w:hAnsi="仿宋_GB2312" w:cs="仿宋_GB2312" w:eastAsia="仿宋_GB2312"/>
                      <w:sz w:val="18"/>
                    </w:rPr>
                    <w:t>内板为</w:t>
                  </w:r>
                  <w:r>
                    <w:rPr>
                      <w:rFonts w:ascii="仿宋_GB2312" w:hAnsi="仿宋_GB2312" w:cs="仿宋_GB2312" w:eastAsia="仿宋_GB2312"/>
                      <w:sz w:val="18"/>
                    </w:rPr>
                    <w:t>1.2mm304#不锈钢板雕刻镂空折盒造型，电镀拉丝黑钛金；</w:t>
                  </w:r>
                  <w:r>
                    <w:br/>
                  </w:r>
                  <w:r>
                    <w:rPr>
                      <w:rFonts w:ascii="仿宋_GB2312" w:hAnsi="仿宋_GB2312" w:cs="仿宋_GB2312" w:eastAsia="仿宋_GB2312"/>
                      <w:sz w:val="18"/>
                    </w:rPr>
                    <w:t>文字内容镂空雕刻发光，内置蓝景</w:t>
                  </w:r>
                  <w:r>
                    <w:rPr>
                      <w:rFonts w:ascii="仿宋_GB2312" w:hAnsi="仿宋_GB2312" w:cs="仿宋_GB2312" w:eastAsia="仿宋_GB2312"/>
                      <w:sz w:val="18"/>
                    </w:rPr>
                    <w:t>LED防水灯，内衬乳白版。</w:t>
                  </w:r>
                  <w:r>
                    <w:br/>
                  </w:r>
                  <w:r>
                    <w:rPr>
                      <w:rFonts w:ascii="仿宋_GB2312" w:hAnsi="仿宋_GB2312" w:cs="仿宋_GB2312" w:eastAsia="仿宋_GB2312"/>
                      <w:sz w:val="18"/>
                    </w:rPr>
                    <w:t>夜晚发白光，光源</w:t>
                  </w:r>
                  <w:r>
                    <w:rPr>
                      <w:rFonts w:ascii="仿宋_GB2312" w:hAnsi="仿宋_GB2312" w:cs="仿宋_GB2312" w:eastAsia="仿宋_GB2312"/>
                      <w:sz w:val="18"/>
                    </w:rPr>
                    <w:t>4500k。</w:t>
                  </w:r>
                  <w:r>
                    <w:br/>
                  </w:r>
                  <w:r>
                    <w:rPr>
                      <w:rFonts w:ascii="仿宋_GB2312" w:hAnsi="仿宋_GB2312" w:cs="仿宋_GB2312" w:eastAsia="仿宋_GB2312"/>
                      <w:sz w:val="18"/>
                    </w:rPr>
                    <w:t>吊杆为电镀黄古铜圆管，中间拉丝杆支撑。</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3000*350*100mm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32</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22</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楼层指引吊牌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外框为</w:t>
                  </w:r>
                  <w:r>
                    <w:rPr>
                      <w:rFonts w:ascii="仿宋_GB2312" w:hAnsi="仿宋_GB2312" w:cs="仿宋_GB2312" w:eastAsia="仿宋_GB2312"/>
                      <w:sz w:val="18"/>
                    </w:rPr>
                    <w:t>8mm304#不锈钢板实心雕刻折弯外框，烤漆黑色金属漆；</w:t>
                  </w:r>
                  <w:r>
                    <w:br/>
                  </w:r>
                  <w:r>
                    <w:rPr>
                      <w:rFonts w:ascii="仿宋_GB2312" w:hAnsi="仿宋_GB2312" w:cs="仿宋_GB2312" w:eastAsia="仿宋_GB2312"/>
                      <w:sz w:val="18"/>
                    </w:rPr>
                    <w:t>内板为</w:t>
                  </w:r>
                  <w:r>
                    <w:rPr>
                      <w:rFonts w:ascii="仿宋_GB2312" w:hAnsi="仿宋_GB2312" w:cs="仿宋_GB2312" w:eastAsia="仿宋_GB2312"/>
                      <w:sz w:val="18"/>
                    </w:rPr>
                    <w:t>1.2mm304#不锈钢板雕刻镂空折盒造型，电镀拉丝黑钛金；</w:t>
                  </w:r>
                  <w:r>
                    <w:br/>
                  </w:r>
                  <w:r>
                    <w:rPr>
                      <w:rFonts w:ascii="仿宋_GB2312" w:hAnsi="仿宋_GB2312" w:cs="仿宋_GB2312" w:eastAsia="仿宋_GB2312"/>
                      <w:sz w:val="18"/>
                    </w:rPr>
                    <w:t>文字内容镂空雕刻发光，内置蓝景</w:t>
                  </w:r>
                  <w:r>
                    <w:rPr>
                      <w:rFonts w:ascii="仿宋_GB2312" w:hAnsi="仿宋_GB2312" w:cs="仿宋_GB2312" w:eastAsia="仿宋_GB2312"/>
                      <w:sz w:val="18"/>
                    </w:rPr>
                    <w:t>LED防水灯，内衬乳白版；</w:t>
                  </w:r>
                  <w:r>
                    <w:br/>
                  </w:r>
                  <w:r>
                    <w:rPr>
                      <w:rFonts w:ascii="仿宋_GB2312" w:hAnsi="仿宋_GB2312" w:cs="仿宋_GB2312" w:eastAsia="仿宋_GB2312"/>
                      <w:sz w:val="18"/>
                    </w:rPr>
                    <w:t>夜晚发白光，光源</w:t>
                  </w:r>
                  <w:r>
                    <w:rPr>
                      <w:rFonts w:ascii="仿宋_GB2312" w:hAnsi="仿宋_GB2312" w:cs="仿宋_GB2312" w:eastAsia="仿宋_GB2312"/>
                      <w:sz w:val="18"/>
                    </w:rPr>
                    <w:t>4500k；</w:t>
                  </w:r>
                  <w:r>
                    <w:br/>
                  </w:r>
                  <w:r>
                    <w:rPr>
                      <w:rFonts w:ascii="仿宋_GB2312" w:hAnsi="仿宋_GB2312" w:cs="仿宋_GB2312" w:eastAsia="仿宋_GB2312"/>
                      <w:sz w:val="18"/>
                    </w:rPr>
                    <w:t>吊杆为电镀黄古铜圆管，中间拉丝杆支撑。</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2400*320*100mm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8</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23</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通道指示牌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304#1.2mm厚度不锈钢材质，不锈钢激光切割，高精折弯机械刨槽折弯，精品无缝焊接，精工打磨 ，氟碳烤漆饰面。</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300*450*20mm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35</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24</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速通款摆闸（单机芯）</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机箱尺寸：</w:t>
                  </w:r>
                  <w:r>
                    <w:rPr>
                      <w:rFonts w:ascii="仿宋_GB2312" w:hAnsi="仿宋_GB2312" w:cs="仿宋_GB2312" w:eastAsia="仿宋_GB2312"/>
                      <w:sz w:val="18"/>
                    </w:rPr>
                    <w:t>1500*150*990mm(长*宽*高)材料：周身采用SUS304拉丝不锈钢材；摆臂：304不锈钢/亚克力；通道宽度：550-1200mm；电源电压：220VAC±10%/15%，50HZ±4％；</w:t>
                  </w:r>
                  <w:r>
                    <w:br/>
                  </w:r>
                  <w:r>
                    <w:rPr>
                      <w:rFonts w:ascii="仿宋_GB2312" w:hAnsi="仿宋_GB2312" w:cs="仿宋_GB2312" w:eastAsia="仿宋_GB2312"/>
                      <w:sz w:val="18"/>
                    </w:rPr>
                    <w:t>驱动电机：直流无刷电机，</w:t>
                  </w:r>
                  <w:r>
                    <w:rPr>
                      <w:rFonts w:ascii="仿宋_GB2312" w:hAnsi="仿宋_GB2312" w:cs="仿宋_GB2312" w:eastAsia="仿宋_GB2312"/>
                      <w:sz w:val="18"/>
                    </w:rPr>
                    <w:t>DC24V；驱动方式：数字方式；红外数量：4对；</w:t>
                  </w:r>
                  <w:r>
                    <w:br/>
                  </w:r>
                  <w:r>
                    <w:rPr>
                      <w:rFonts w:ascii="仿宋_GB2312" w:hAnsi="仿宋_GB2312" w:cs="仿宋_GB2312" w:eastAsia="仿宋_GB2312"/>
                      <w:sz w:val="18"/>
                    </w:rPr>
                    <w:t>工作环境：</w:t>
                  </w:r>
                  <w:r>
                    <w:rPr>
                      <w:rFonts w:ascii="仿宋_GB2312" w:hAnsi="仿宋_GB2312" w:cs="仿宋_GB2312" w:eastAsia="仿宋_GB2312"/>
                      <w:sz w:val="18"/>
                    </w:rPr>
                    <w:t>-25℃～+75℃；相对温度：5%--90%；无结露；通行速度：25-30人/分钟；</w:t>
                  </w:r>
                  <w:r>
                    <w:br/>
                  </w:r>
                  <w:r>
                    <w:rPr>
                      <w:rFonts w:ascii="仿宋_GB2312" w:hAnsi="仿宋_GB2312" w:cs="仿宋_GB2312" w:eastAsia="仿宋_GB2312"/>
                      <w:sz w:val="18"/>
                    </w:rPr>
                    <w:t>防撞摆闸，一控一控制器、压铸开模机芯，品牌高端直流无刷电机，霍尔数字定位，遇阻返回，卧式机芯。</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1500*150*990mm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2</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25</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速通款摆闸（双机芯）</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机箱尺寸：</w:t>
                  </w:r>
                  <w:r>
                    <w:rPr>
                      <w:rFonts w:ascii="仿宋_GB2312" w:hAnsi="仿宋_GB2312" w:cs="仿宋_GB2312" w:eastAsia="仿宋_GB2312"/>
                      <w:sz w:val="18"/>
                    </w:rPr>
                    <w:t>1500*150*990mm(长*宽*高)材料：周身采用SUS304拉丝不锈钢材；摆臂：304不锈钢/亚克力；通道宽度：550-1200mm；电源电压：220VAC±10%/15%，50HZ±4％；</w:t>
                  </w:r>
                  <w:r>
                    <w:br/>
                  </w:r>
                  <w:r>
                    <w:rPr>
                      <w:rFonts w:ascii="仿宋_GB2312" w:hAnsi="仿宋_GB2312" w:cs="仿宋_GB2312" w:eastAsia="仿宋_GB2312"/>
                      <w:sz w:val="18"/>
                    </w:rPr>
                    <w:t>驱动电机：直流无刷电机，</w:t>
                  </w:r>
                  <w:r>
                    <w:rPr>
                      <w:rFonts w:ascii="仿宋_GB2312" w:hAnsi="仿宋_GB2312" w:cs="仿宋_GB2312" w:eastAsia="仿宋_GB2312"/>
                      <w:sz w:val="18"/>
                    </w:rPr>
                    <w:t>DC24V；驱动方式：数字方式；红外数量：4对；工作环境：-25℃～+75℃；相对温度：5%--90%   无结露；通行速度：25-30人/分钟；</w:t>
                  </w:r>
                  <w:r>
                    <w:br/>
                  </w:r>
                  <w:r>
                    <w:rPr>
                      <w:rFonts w:ascii="仿宋_GB2312" w:hAnsi="仿宋_GB2312" w:cs="仿宋_GB2312" w:eastAsia="仿宋_GB2312"/>
                      <w:sz w:val="18"/>
                    </w:rPr>
                    <w:t>防撞摆闸，一控二控制器、压铸开模机芯，品牌高端直流无刷电机，霍尔数字定位，遇阻返回，卧式机芯；</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1500*150*990mm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26</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人脸门禁主机</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IoT,7inch高清竖屏,触摸屏,铝本色,双摄,Linux系统,IC卡,二维码识别,人脸识别(离线版4.0),云对讲,支架式安装,含支架。</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27</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18V开关电源</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18V供电,导轨式安装；尺寸：78*90*58mm。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78*90*58mm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28</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设备综合管理平台</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2U工控机，i7-9500，内存32G，硬盘2T机械（2个2T机械盘做RAID1，支持RAID1 带1G缓存及电池，可双硬盘备份），内置社区平台软件（SW-PT-IoT-PA01，全功能），可接入门禁主机300台，</w:t>
                  </w:r>
                  <w:r>
                    <w:rPr>
                      <w:rFonts w:ascii="仿宋_GB2312" w:hAnsi="仿宋_GB2312" w:cs="仿宋_GB2312" w:eastAsia="仿宋_GB2312"/>
                      <w:sz w:val="18"/>
                    </w:rPr>
                    <w:t>终身免费质保，免费升级。</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29</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数字</w:t>
                  </w:r>
                  <w:r>
                    <w:rPr>
                      <w:rFonts w:ascii="仿宋_GB2312" w:hAnsi="仿宋_GB2312" w:cs="仿宋_GB2312" w:eastAsia="仿宋_GB2312"/>
                      <w:sz w:val="18"/>
                    </w:rPr>
                    <w:t>IC发卡器</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工作证、饭卡、办公室门禁卡等制卡。发卡器。操作系统为：</w:t>
                  </w:r>
                  <w:r>
                    <w:rPr>
                      <w:rFonts w:ascii="仿宋_GB2312" w:hAnsi="仿宋_GB2312" w:cs="仿宋_GB2312" w:eastAsia="仿宋_GB2312"/>
                      <w:sz w:val="18"/>
                    </w:rPr>
                    <w:t>Android8.1.0；芯片：RK3288；内存2GB.存储容量16GB;触摸屏，主副屏1920*1080mm/800*1280mm；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30</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人脸采集仪</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1080P高清网络摄像头 ,黑色,500w像素,USB_5V供电；CMOS高感光新品传感器；极速采集和录入人脸信息；</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31</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多功能人证核验访客机</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IoT,白+黑色,双屏，13.3触摸屏+10.1触摸屏,Android操作系统,带wifi,人证核验；外观尺寸325*368*175mm;工作电压DC24V。</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32</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红外系统</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漫反射激光红外线设备；防夹设备。</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6</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对</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33</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设备水泥台基础层</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速通摆闸地面水泥台基础处理；</w:t>
                  </w:r>
                  <w:r>
                    <w:rPr>
                      <w:rFonts w:ascii="仿宋_GB2312" w:hAnsi="仿宋_GB2312" w:cs="仿宋_GB2312" w:eastAsia="仿宋_GB2312"/>
                      <w:sz w:val="18"/>
                    </w:rPr>
                    <w:t>160cm*100cm*20cm。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160cm*100cm*20cm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5</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34</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测温明眸产品</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测温系统，发烧人员预警；测温范围：</w:t>
                  </w:r>
                  <w:r>
                    <w:rPr>
                      <w:rFonts w:ascii="仿宋_GB2312" w:hAnsi="仿宋_GB2312" w:cs="仿宋_GB2312" w:eastAsia="仿宋_GB2312"/>
                      <w:sz w:val="18"/>
                    </w:rPr>
                    <w:t>30℃--45℃；640阳光屏弱化反光，支持WIFI链接，定时抓拍；自由测温点5个；广角覆盖。</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35</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加密狗</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防泄密设备，保障员工资料安全；加密防止设备资料被复制外泄。</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36</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设备终端控制器</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系统终端整体控制器；</w:t>
                  </w:r>
                  <w:r>
                    <w:rPr>
                      <w:rFonts w:ascii="仿宋_GB2312" w:hAnsi="仿宋_GB2312" w:cs="仿宋_GB2312" w:eastAsia="仿宋_GB2312"/>
                      <w:sz w:val="18"/>
                    </w:rPr>
                    <w:t>CPU:I7 内存32G 硬盘128GSSD+2TBHDD 显示器23.8寸；操作系统：win10。</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37</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南门、东门道闸联通</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管道施工，</w:t>
                  </w:r>
                  <w:r>
                    <w:rPr>
                      <w:rFonts w:ascii="仿宋_GB2312" w:hAnsi="仿宋_GB2312" w:cs="仿宋_GB2312" w:eastAsia="仿宋_GB2312"/>
                      <w:sz w:val="18"/>
                    </w:rPr>
                    <w:t>25QPE管子，挖渠、铺设、填埋、恢复绿化等，4B光纤熔接；挖渠尺寸为：45*45cm；线管规格为：25mm外径,2.3mm壁厚；超五类网线；绿化影响面积为：0.45m*300m;</w:t>
                  </w:r>
                  <w:r>
                    <w:rPr>
                      <w:rFonts w:ascii="仿宋_GB2312" w:hAnsi="仿宋_GB2312" w:cs="仿宋_GB2312" w:eastAsia="仿宋_GB2312"/>
                      <w:sz w:val="18"/>
                    </w:rPr>
                    <w:t>夜间施工，赶工期。</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300</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米</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38</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定制款玻璃隔断门</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定制款不锈钢</w:t>
                  </w:r>
                  <w:r>
                    <w:rPr>
                      <w:rFonts w:ascii="仿宋_GB2312" w:hAnsi="仿宋_GB2312" w:cs="仿宋_GB2312" w:eastAsia="仿宋_GB2312"/>
                      <w:sz w:val="18"/>
                    </w:rPr>
                    <w:t>+钢化玻璃门（闸机旁）；根据道闸旁尺寸定制不锈钢门，尺寸：100cm*130cm；2mm不锈钢边框，原生静电粉末喷涂防锈，6mm钢化玻璃；带黑色门锁。</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项</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39</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南门门卫登记窗优化</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门卫室窗户优化改造；更换门卫室窗户，尺寸：</w:t>
                  </w:r>
                  <w:r>
                    <w:rPr>
                      <w:rFonts w:ascii="仿宋_GB2312" w:hAnsi="仿宋_GB2312" w:cs="仿宋_GB2312" w:eastAsia="仿宋_GB2312"/>
                      <w:sz w:val="18"/>
                    </w:rPr>
                    <w:t>262cm*155cm；壁厚2mm断桥铝材质，原生铝材静电粉末喷涂防锈，汽车级EPDM三元乙丙胶条，中控钢化玻璃，玻璃厚度5mm；上方固定，下方左右滑轨推拉窗，月牙锁扣。</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项</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40</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定制南门小雨棚</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无缝钢管焊接，</w:t>
                  </w:r>
                  <w:r>
                    <w:rPr>
                      <w:rFonts w:ascii="仿宋_GB2312" w:hAnsi="仿宋_GB2312" w:cs="仿宋_GB2312" w:eastAsia="仿宋_GB2312"/>
                      <w:sz w:val="18"/>
                    </w:rPr>
                    <w:t>PVDF建筑膜，2米*3.6米；钢管为无缝钢管，材质为Q235B，焊条采用E43型；膜采用PVDF建筑膜，厚度为4mm。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2米*4米</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8</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平米</w:t>
                  </w:r>
                </w:p>
              </w:tc>
              <w:tc>
                <w:tcPr>
                  <w:tcW w:type="dxa" w:w="253"/>
                  <w:vMerge/>
                  <w:tcBorders>
                    <w:top w:val="none" w:color="000000" w:sz="4"/>
                    <w:left w:val="none" w:color="000000" w:sz="4"/>
                    <w:bottom w:val="single" w:color="000000" w:sz="4"/>
                    <w:right w:val="single" w:color="000000" w:sz="4"/>
                  </w:tcBorders>
                </w:tcPr>
                <w:p/>
              </w:tc>
              <w:tc>
                <w:tcPr>
                  <w:tcW w:type="dxa" w:w="226"/>
                  <w:vMerge w:val="restart"/>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3</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41</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定制东门小雨棚</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无缝钢管焊接，</w:t>
                  </w:r>
                  <w:r>
                    <w:rPr>
                      <w:rFonts w:ascii="仿宋_GB2312" w:hAnsi="仿宋_GB2312" w:cs="仿宋_GB2312" w:eastAsia="仿宋_GB2312"/>
                      <w:sz w:val="18"/>
                    </w:rPr>
                    <w:t>PVDF建筑膜，2米*3.6米；钢管为无缝钢管，材质为Q235B，焊条采用E43型；膜采用PVDF建筑膜，厚度为4mm。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2米*4米</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8</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平米</w:t>
                  </w:r>
                </w:p>
              </w:tc>
              <w:tc>
                <w:tcPr>
                  <w:tcW w:type="dxa" w:w="253"/>
                  <w:vMerge/>
                  <w:tcBorders>
                    <w:top w:val="none" w:color="000000" w:sz="4"/>
                    <w:left w:val="none" w:color="000000" w:sz="4"/>
                    <w:bottom w:val="single" w:color="000000" w:sz="4"/>
                    <w:right w:val="single" w:color="000000" w:sz="4"/>
                  </w:tcBorders>
                </w:tcPr>
                <w:p/>
              </w:tc>
              <w:tc>
                <w:tcPr>
                  <w:tcW w:type="dxa" w:w="226"/>
                  <w:vMerge/>
                  <w:tcBorders>
                    <w:top w:val="none" w:color="000000" w:sz="4"/>
                    <w:left w:val="none" w:color="000000" w:sz="4"/>
                    <w:bottom w:val="single" w:color="000000" w:sz="4"/>
                    <w:right w:val="single" w:color="000000" w:sz="4"/>
                  </w:tcBorders>
                </w:tc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42</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南门口登记室金属字</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登记室金属字，精工烤漆</w:t>
                  </w:r>
                  <w:r>
                    <w:rPr>
                      <w:rFonts w:ascii="仿宋_GB2312" w:hAnsi="仿宋_GB2312" w:cs="仿宋_GB2312" w:eastAsia="仿宋_GB2312"/>
                      <w:sz w:val="18"/>
                    </w:rPr>
                    <w:t>1.2mm304#不锈钢板雕刻折弯；尺寸：30cm*120cm；单个字尺寸为30*40cm;整体尺寸为30*120cm。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30cm*120cm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项</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4</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43</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门禁机设备、降温设备</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门禁机设备、降温设备；大</w:t>
                  </w:r>
                  <w:r>
                    <w:rPr>
                      <w:rFonts w:ascii="仿宋_GB2312" w:hAnsi="仿宋_GB2312" w:cs="仿宋_GB2312" w:eastAsia="仿宋_GB2312"/>
                      <w:sz w:val="18"/>
                    </w:rPr>
                    <w:t>1.5匹。（空调）</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2</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台</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44</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工作证（门禁卡）</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设计制作哑光面带芯片工作证</w:t>
                  </w:r>
                  <w:r>
                    <w:rPr>
                      <w:rFonts w:ascii="仿宋_GB2312" w:hAnsi="仿宋_GB2312" w:cs="仿宋_GB2312" w:eastAsia="仿宋_GB2312"/>
                      <w:sz w:val="18"/>
                    </w:rPr>
                    <w:t>IC卡（含临时工作证)</w:t>
                  </w:r>
                  <w:r>
                    <w:rPr>
                      <w:rFonts w:ascii="仿宋_GB2312" w:hAnsi="仿宋_GB2312" w:cs="仿宋_GB2312" w:eastAsia="仿宋_GB2312"/>
                      <w:sz w:val="18"/>
                    </w:rPr>
                    <w:t>含厂家技术人员录入人员信息费用。</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3200</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45</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办公楼防撞条</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办公楼、信访中心楼防撞条</w:t>
                  </w:r>
                  <w:r>
                    <w:rPr>
                      <w:rFonts w:ascii="仿宋_GB2312" w:hAnsi="仿宋_GB2312" w:cs="仿宋_GB2312" w:eastAsia="仿宋_GB2312"/>
                      <w:sz w:val="18"/>
                    </w:rPr>
                    <w:t>;尺寸：112cm*12cm;户外可移车贴，背面不粘胶（含人工费）</w:t>
                  </w:r>
                  <w:r>
                    <w:rPr>
                      <w:rFonts w:ascii="仿宋_GB2312" w:hAnsi="仿宋_GB2312" w:cs="仿宋_GB2312" w:eastAsia="仿宋_GB2312"/>
                      <w:sz w:val="18"/>
                    </w:rPr>
                    <w:t>含手工拆除原防撞条费用。</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112cm*12cm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600</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条</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5</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46</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电梯标识地毯</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电梯标识地毯</w:t>
                  </w:r>
                  <w:r>
                    <w:rPr>
                      <w:rFonts w:ascii="仿宋_GB2312" w:hAnsi="仿宋_GB2312" w:cs="仿宋_GB2312" w:eastAsia="仿宋_GB2312"/>
                      <w:sz w:val="18"/>
                    </w:rPr>
                    <w:t>,尺寸：127cm*195cm；手工定制异形涤纶长绒地毯，重量3500G/㎡；厚度30mm。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127cm*195cm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8</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6</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47</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磨砂贴</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管委会</w:t>
                  </w:r>
                  <w:r>
                    <w:rPr>
                      <w:rFonts w:ascii="仿宋_GB2312" w:hAnsi="仿宋_GB2312" w:cs="仿宋_GB2312" w:eastAsia="仿宋_GB2312"/>
                      <w:sz w:val="18"/>
                    </w:rPr>
                    <w:t>2、3、4楼临外侧玻璃磨砂贴；150cm*100cm</w:t>
                  </w:r>
                  <w:r>
                    <w:rPr>
                      <w:rFonts w:ascii="仿宋_GB2312" w:hAnsi="仿宋_GB2312" w:cs="仿宋_GB2312" w:eastAsia="仿宋_GB2312"/>
                      <w:sz w:val="18"/>
                    </w:rPr>
                    <w:t>含手工贴费用，约一半有栏杆地方需拆除栏杆再恢复。</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74</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48</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更换演讲台</w:t>
                  </w:r>
                  <w:r>
                    <w:rPr>
                      <w:rFonts w:ascii="仿宋_GB2312" w:hAnsi="仿宋_GB2312" w:cs="仿宋_GB2312" w:eastAsia="仿宋_GB2312"/>
                      <w:sz w:val="18"/>
                    </w:rPr>
                    <w:t>logo</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会议室演讲台</w:t>
                  </w:r>
                  <w:r>
                    <w:rPr>
                      <w:rFonts w:ascii="仿宋_GB2312" w:hAnsi="仿宋_GB2312" w:cs="仿宋_GB2312" w:eastAsia="仿宋_GB2312"/>
                      <w:sz w:val="18"/>
                    </w:rPr>
                    <w:t>logo清楚并更换；尺寸：35cm*45cm;不透明5mm亚克力材质。</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8</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49</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会议室背景墙</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325会议室背景墙清理更换，宣绒布平铺；名称亚克力材质广告字；原有墙面是乳胶漆涂料；在上面平铺宣绒布，宣绒布尺寸为：5米*2.85米；宣绒布上做9mm厚度亚克力材质的“西安浐灞国际港”名称；每个字尺寸为：30cm*30c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项</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7</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50</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多功能厅主席台优化</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多层板加厚定制舞台；铺设新的舞台，舞台尺寸为</w:t>
                  </w:r>
                  <w:r>
                    <w:rPr>
                      <w:rFonts w:ascii="仿宋_GB2312" w:hAnsi="仿宋_GB2312" w:cs="仿宋_GB2312" w:eastAsia="仿宋_GB2312"/>
                      <w:sz w:val="18"/>
                    </w:rPr>
                    <w:t>13m*3m；舞台高度为15cm；多层板厚度为2.5cm；中间用木龙骨支撑，</w:t>
                  </w:r>
                  <w:r>
                    <w:rPr>
                      <w:rFonts w:ascii="仿宋_GB2312" w:hAnsi="仿宋_GB2312" w:cs="仿宋_GB2312" w:eastAsia="仿宋_GB2312"/>
                      <w:sz w:val="18"/>
                    </w:rPr>
                    <w:t>加急</w:t>
                  </w:r>
                  <w:r>
                    <w:rPr>
                      <w:rFonts w:ascii="仿宋_GB2312" w:hAnsi="仿宋_GB2312" w:cs="仿宋_GB2312" w:eastAsia="仿宋_GB2312"/>
                      <w:sz w:val="18"/>
                    </w:rPr>
                    <w:t>3天完成。</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13m*3m；</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39</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平米</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51</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清除办公楼指定区域标识</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清除原有墙面粘贴各种宣传标识、指向标识、</w:t>
                  </w:r>
                  <w:r>
                    <w:rPr>
                      <w:rFonts w:ascii="仿宋_GB2312" w:hAnsi="仿宋_GB2312" w:cs="仿宋_GB2312" w:eastAsia="仿宋_GB2312"/>
                      <w:sz w:val="18"/>
                    </w:rPr>
                    <w:t>logo等，原有墙面带港务区logo、破损影响的物料和废弃过期的宣传物，各种材质均有（亚克力、不粘胶贴画、KT板、PVC宣传板、不锈钢等等）；预估6人合计清理9天时间；</w:t>
                  </w:r>
                  <w:r>
                    <w:rPr>
                      <w:rFonts w:ascii="仿宋_GB2312" w:hAnsi="仿宋_GB2312" w:cs="仿宋_GB2312" w:eastAsia="仿宋_GB2312"/>
                      <w:sz w:val="18"/>
                    </w:rPr>
                    <w:t>含小型升降机</w:t>
                  </w:r>
                  <w:r>
                    <w:rPr>
                      <w:rFonts w:ascii="仿宋_GB2312" w:hAnsi="仿宋_GB2312" w:cs="仿宋_GB2312" w:eastAsia="仿宋_GB2312"/>
                      <w:sz w:val="18"/>
                    </w:rPr>
                    <w:t>4个台班</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项</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52</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生态大厅背景幕布</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双喷布材质，无缝拼接工艺，内置钢管垂吊平整；尺寸：</w:t>
                  </w:r>
                  <w:r>
                    <w:rPr>
                      <w:rFonts w:ascii="仿宋_GB2312" w:hAnsi="仿宋_GB2312" w:cs="仿宋_GB2312" w:eastAsia="仿宋_GB2312"/>
                      <w:sz w:val="18"/>
                    </w:rPr>
                    <w:t>10米*15米；双喷布尺寸为10米*15米；下面用内置钢管垂平；租赁小型升降机一天；3名工人进行安装，</w:t>
                  </w:r>
                  <w:r>
                    <w:rPr>
                      <w:rFonts w:ascii="仿宋_GB2312" w:hAnsi="仿宋_GB2312" w:cs="仿宋_GB2312" w:eastAsia="仿宋_GB2312"/>
                      <w:sz w:val="18"/>
                    </w:rPr>
                    <w:t>高层作业。</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10米*15米</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150</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平米</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8</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53</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浐灞国际港教育局会议室</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原标识清除，更换新墙面</w:t>
                  </w:r>
                  <w:r>
                    <w:rPr>
                      <w:rFonts w:ascii="仿宋_GB2312" w:hAnsi="仿宋_GB2312" w:cs="仿宋_GB2312" w:eastAsia="仿宋_GB2312"/>
                      <w:sz w:val="18"/>
                    </w:rPr>
                    <w:t>logo,宣绒布平铺；名称亚克力材质广告字；原有墙面是乳胶漆涂料；在上面平铺宣绒布，宣绒布尺寸为：4.6米*2.65米；宣绒布上做9mm厚度亚克力材质的西安浐灞生态区教育局”名称；每个字尺寸为：20cm*20cm。</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1</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项</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18"/>
                    </w:rPr>
                    <w:t>54</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会议室带</w:t>
                  </w:r>
                  <w:r>
                    <w:rPr>
                      <w:rFonts w:ascii="仿宋_GB2312" w:hAnsi="仿宋_GB2312" w:cs="仿宋_GB2312" w:eastAsia="仿宋_GB2312"/>
                      <w:sz w:val="18"/>
                    </w:rPr>
                    <w:t>logo桌牌</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重要会议室桌牌更换；尺寸：</w:t>
                  </w:r>
                  <w:r>
                    <w:rPr>
                      <w:rFonts w:ascii="仿宋_GB2312" w:hAnsi="仿宋_GB2312" w:cs="仿宋_GB2312" w:eastAsia="仿宋_GB2312"/>
                      <w:sz w:val="18"/>
                    </w:rPr>
                    <w:t>20cm*10cm；均为亚克力材质。</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58</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个</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详见图</w:t>
                  </w:r>
                  <w:r>
                    <w:rPr>
                      <w:rFonts w:ascii="仿宋_GB2312" w:hAnsi="仿宋_GB2312" w:cs="仿宋_GB2312" w:eastAsia="仿宋_GB2312"/>
                      <w:sz w:val="18"/>
                    </w:rPr>
                    <w:t>9</w:t>
                  </w:r>
                </w:p>
              </w:tc>
            </w:tr>
            <w:tr>
              <w:tc>
                <w:tcPr>
                  <w:tcW w:type="dxa" w:w="1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55</w:t>
                  </w:r>
                </w:p>
              </w:tc>
              <w:tc>
                <w:tcPr>
                  <w:tcW w:type="dxa" w:w="1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多功能厅会议室设备优化</w:t>
                  </w:r>
                </w:p>
              </w:tc>
              <w:tc>
                <w:tcPr>
                  <w:tcW w:type="dxa" w:w="77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left"/>
                  </w:pPr>
                  <w:r>
                    <w:rPr>
                      <w:rFonts w:ascii="仿宋_GB2312" w:hAnsi="仿宋_GB2312" w:cs="仿宋_GB2312" w:eastAsia="仿宋_GB2312"/>
                      <w:sz w:val="18"/>
                    </w:rPr>
                    <w:t>多功能厅会议室桌布、地毯等含原</w:t>
                  </w:r>
                  <w:r>
                    <w:rPr>
                      <w:rFonts w:ascii="仿宋_GB2312" w:hAnsi="仿宋_GB2312" w:cs="仿宋_GB2312" w:eastAsia="仿宋_GB2312"/>
                      <w:sz w:val="18"/>
                    </w:rPr>
                    <w:t>logo的部分设施清除更换；1、定制新的会议桌布2个，墨绿色丝绒布材质；尺寸为20.2m*1.6m；2、清除多功能厅带港务区老logo物料；3、定制灰色地毯60平米；灰色3A级抗菌混纺材质；4、20个360°鹅颈式无线充电话筒；抗干扰无线U段接受。</w:t>
                  </w:r>
                </w:p>
              </w:tc>
              <w:tc>
                <w:tcPr>
                  <w:tcW w:type="dxa" w:w="3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60</w:t>
                  </w:r>
                </w:p>
              </w:tc>
              <w:tc>
                <w:tcPr>
                  <w:tcW w:type="dxa" w:w="21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r>
                    <w:rPr>
                      <w:rFonts w:ascii="仿宋_GB2312" w:hAnsi="仿宋_GB2312" w:cs="仿宋_GB2312" w:eastAsia="仿宋_GB2312"/>
                      <w:sz w:val="18"/>
                    </w:rPr>
                    <w:t>平米</w:t>
                  </w:r>
                </w:p>
              </w:tc>
              <w:tc>
                <w:tcPr>
                  <w:tcW w:type="dxa" w:w="253"/>
                  <w:vMerge/>
                  <w:tcBorders>
                    <w:top w:val="none" w:color="000000" w:sz="4"/>
                    <w:left w:val="none" w:color="000000" w:sz="4"/>
                    <w:bottom w:val="single" w:color="000000" w:sz="4"/>
                    <w:right w:val="single" w:color="000000" w:sz="4"/>
                  </w:tcBorders>
                </w:tcPr>
                <w:p/>
              </w:tc>
              <w:tc>
                <w:tcPr>
                  <w:tcW w:type="dxa" w:w="2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spacing w:after="195"/>
                    <w:jc w:val="center"/>
                  </w:pPr>
                </w:p>
              </w:tc>
            </w:tr>
          </w:tbl>
          <w:p>
            <w:pPr>
              <w:pStyle w:val="null3"/>
              <w:jc w:val="left"/>
            </w:pPr>
            <w:r>
              <w:rPr>
                <w:rFonts w:ascii="仿宋_GB2312" w:hAnsi="仿宋_GB2312" w:cs="仿宋_GB2312" w:eastAsia="仿宋_GB2312"/>
                <w:sz w:val="18"/>
              </w:rPr>
              <w:t>注：供应商需按照清单中所给的示图进行设计制作。</w:t>
            </w:r>
          </w:p>
          <w:p>
            <w:pPr>
              <w:pStyle w:val="null3"/>
              <w:spacing w:after="195"/>
              <w:jc w:val="left"/>
            </w:pPr>
            <w:r>
              <w:rPr>
                <w:rFonts w:ascii="仿宋_GB2312" w:hAnsi="仿宋_GB2312" w:cs="仿宋_GB2312" w:eastAsia="仿宋_GB2312"/>
              </w:rPr>
              <w:t>图1</w:t>
            </w:r>
          </w:p>
          <w:p>
            <w:pPr>
              <w:pStyle w:val="null3"/>
              <w:spacing w:after="195"/>
              <w:jc w:val="left"/>
            </w:pPr>
            <w:r>
              <w:drawing>
                <wp:inline distT="0" distR="0" distB="0" distL="0">
                  <wp:extent cx="1181100" cy="1009597"/>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181100" cy="1009597"/>
                          </a:xfrm>
                          <a:prstGeom prst="rect">
                            <a:avLst/>
                          </a:prstGeom>
                        </pic:spPr>
                      </pic:pic>
                    </a:graphicData>
                  </a:graphic>
                </wp:inline>
              </w:drawing>
            </w:r>
          </w:p>
          <w:p>
            <w:pPr>
              <w:pStyle w:val="null3"/>
              <w:spacing w:after="195"/>
              <w:jc w:val="left"/>
            </w:pPr>
            <w:r>
              <w:rPr>
                <w:rFonts w:ascii="仿宋_GB2312" w:hAnsi="仿宋_GB2312" w:cs="仿宋_GB2312" w:eastAsia="仿宋_GB2312"/>
              </w:rPr>
              <w:t xml:space="preserve"> </w:t>
            </w:r>
          </w:p>
          <w:p>
            <w:pPr>
              <w:pStyle w:val="null3"/>
              <w:spacing w:after="195"/>
              <w:jc w:val="left"/>
            </w:pPr>
            <w:r>
              <w:rPr>
                <w:rFonts w:ascii="仿宋_GB2312" w:hAnsi="仿宋_GB2312" w:cs="仿宋_GB2312" w:eastAsia="仿宋_GB2312"/>
              </w:rPr>
              <w:t>图2</w:t>
            </w:r>
          </w:p>
          <w:p>
            <w:pPr>
              <w:pStyle w:val="null3"/>
              <w:spacing w:after="195"/>
              <w:jc w:val="left"/>
            </w:pPr>
            <w:r>
              <w:drawing>
                <wp:inline distT="0" distR="0" distB="0" distL="0">
                  <wp:extent cx="1181100" cy="552095"/>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181100" cy="552095"/>
                          </a:xfrm>
                          <a:prstGeom prst="rect">
                            <a:avLst/>
                          </a:prstGeom>
                        </pic:spPr>
                      </pic:pic>
                    </a:graphicData>
                  </a:graphic>
                </wp:inline>
              </w:drawing>
            </w:r>
          </w:p>
          <w:p>
            <w:pPr>
              <w:pStyle w:val="null3"/>
              <w:spacing w:after="195"/>
              <w:jc w:val="left"/>
            </w:pPr>
            <w:r>
              <w:rPr>
                <w:rFonts w:ascii="仿宋_GB2312" w:hAnsi="仿宋_GB2312" w:cs="仿宋_GB2312" w:eastAsia="仿宋_GB2312"/>
              </w:rPr>
              <w:t xml:space="preserve"> </w:t>
            </w:r>
          </w:p>
          <w:p>
            <w:pPr>
              <w:pStyle w:val="null3"/>
              <w:spacing w:after="195"/>
              <w:jc w:val="left"/>
            </w:pPr>
            <w:r>
              <w:rPr>
                <w:rFonts w:ascii="仿宋_GB2312" w:hAnsi="仿宋_GB2312" w:cs="仿宋_GB2312" w:eastAsia="仿宋_GB2312"/>
              </w:rPr>
              <w:t>图3</w:t>
            </w:r>
          </w:p>
          <w:p>
            <w:pPr>
              <w:pStyle w:val="null3"/>
              <w:spacing w:after="195"/>
              <w:jc w:val="left"/>
            </w:pPr>
            <w:r>
              <w:drawing>
                <wp:inline distT="0" distR="0" distB="0" distL="0">
                  <wp:extent cx="1181100" cy="1189658"/>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181100" cy="1189658"/>
                          </a:xfrm>
                          <a:prstGeom prst="rect">
                            <a:avLst/>
                          </a:prstGeom>
                        </pic:spPr>
                      </pic:pic>
                    </a:graphicData>
                  </a:graphic>
                </wp:inline>
              </w:drawing>
            </w:r>
          </w:p>
          <w:p>
            <w:pPr>
              <w:pStyle w:val="null3"/>
              <w:spacing w:after="195"/>
              <w:jc w:val="left"/>
            </w:pPr>
            <w:r>
              <w:rPr>
                <w:rFonts w:ascii="仿宋_GB2312" w:hAnsi="仿宋_GB2312" w:cs="仿宋_GB2312" w:eastAsia="仿宋_GB2312"/>
              </w:rPr>
              <w:t xml:space="preserve"> </w:t>
            </w:r>
          </w:p>
          <w:p>
            <w:pPr>
              <w:pStyle w:val="null3"/>
              <w:spacing w:after="195"/>
              <w:jc w:val="left"/>
            </w:pPr>
            <w:r>
              <w:rPr>
                <w:rFonts w:ascii="仿宋_GB2312" w:hAnsi="仿宋_GB2312" w:cs="仿宋_GB2312" w:eastAsia="仿宋_GB2312"/>
              </w:rPr>
              <w:t>图4</w:t>
            </w:r>
          </w:p>
          <w:p>
            <w:pPr>
              <w:pStyle w:val="null3"/>
              <w:spacing w:after="195"/>
              <w:jc w:val="left"/>
            </w:pPr>
            <w:r>
              <w:drawing>
                <wp:inline distT="0" distR="0" distB="0" distL="0">
                  <wp:extent cx="1181100" cy="1429752"/>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181100" cy="1429752"/>
                          </a:xfrm>
                          <a:prstGeom prst="rect">
                            <a:avLst/>
                          </a:prstGeom>
                        </pic:spPr>
                      </pic:pic>
                    </a:graphicData>
                  </a:graphic>
                </wp:inline>
              </w:drawing>
            </w:r>
          </w:p>
          <w:p>
            <w:pPr>
              <w:pStyle w:val="null3"/>
              <w:spacing w:after="195"/>
              <w:jc w:val="left"/>
            </w:pPr>
            <w:r>
              <w:rPr>
                <w:rFonts w:ascii="仿宋_GB2312" w:hAnsi="仿宋_GB2312" w:cs="仿宋_GB2312" w:eastAsia="仿宋_GB2312"/>
              </w:rPr>
              <w:t>图5</w:t>
            </w:r>
          </w:p>
          <w:p>
            <w:pPr>
              <w:pStyle w:val="null3"/>
              <w:spacing w:after="195"/>
              <w:jc w:val="left"/>
            </w:pPr>
            <w:r>
              <w:drawing>
                <wp:inline distT="0" distR="0" distB="0" distL="0">
                  <wp:extent cx="1181100" cy="308032"/>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181100" cy="308032"/>
                          </a:xfrm>
                          <a:prstGeom prst="rect">
                            <a:avLst/>
                          </a:prstGeom>
                        </pic:spPr>
                      </pic:pic>
                    </a:graphicData>
                  </a:graphic>
                </wp:inline>
              </w:drawing>
            </w:r>
            <w:r>
              <w:rPr>
                <w:rFonts w:ascii="仿宋_GB2312" w:hAnsi="仿宋_GB2312" w:cs="仿宋_GB2312" w:eastAsia="仿宋_GB2312"/>
              </w:rPr>
              <w:t>图6</w:t>
            </w:r>
          </w:p>
          <w:p>
            <w:pPr>
              <w:pStyle w:val="null3"/>
              <w:spacing w:after="195"/>
              <w:jc w:val="left"/>
            </w:pPr>
            <w:r>
              <w:drawing>
                <wp:inline distT="0" distR="0" distB="0" distL="0">
                  <wp:extent cx="1181100" cy="1597623"/>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181100" cy="1597623"/>
                          </a:xfrm>
                          <a:prstGeom prst="rect">
                            <a:avLst/>
                          </a:prstGeom>
                        </pic:spPr>
                      </pic:pic>
                    </a:graphicData>
                  </a:graphic>
                </wp:inline>
              </w:drawing>
            </w:r>
          </w:p>
          <w:p>
            <w:pPr>
              <w:pStyle w:val="null3"/>
              <w:spacing w:after="195"/>
              <w:jc w:val="left"/>
            </w:pPr>
            <w:r>
              <w:rPr>
                <w:rFonts w:ascii="仿宋_GB2312" w:hAnsi="仿宋_GB2312" w:cs="仿宋_GB2312" w:eastAsia="仿宋_GB2312"/>
              </w:rPr>
              <w:t>图7</w:t>
            </w:r>
          </w:p>
          <w:p>
            <w:pPr>
              <w:pStyle w:val="null3"/>
              <w:spacing w:after="195"/>
              <w:jc w:val="left"/>
            </w:pPr>
            <w:r>
              <w:drawing>
                <wp:inline distT="0" distR="0" distB="0" distL="0">
                  <wp:extent cx="1181100" cy="823706"/>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1181100" cy="823706"/>
                          </a:xfrm>
                          <a:prstGeom prst="rect">
                            <a:avLst/>
                          </a:prstGeom>
                        </pic:spPr>
                      </pic:pic>
                    </a:graphicData>
                  </a:graphic>
                </wp:inline>
              </w:drawing>
            </w:r>
          </w:p>
          <w:p>
            <w:pPr>
              <w:pStyle w:val="null3"/>
              <w:spacing w:after="195"/>
              <w:jc w:val="left"/>
            </w:pPr>
            <w:r>
              <w:rPr>
                <w:rFonts w:ascii="仿宋_GB2312" w:hAnsi="仿宋_GB2312" w:cs="仿宋_GB2312" w:eastAsia="仿宋_GB2312"/>
              </w:rPr>
              <w:t xml:space="preserve"> </w:t>
            </w:r>
          </w:p>
          <w:p>
            <w:pPr>
              <w:pStyle w:val="null3"/>
              <w:spacing w:after="195"/>
              <w:jc w:val="left"/>
            </w:pPr>
            <w:r>
              <w:rPr>
                <w:rFonts w:ascii="仿宋_GB2312" w:hAnsi="仿宋_GB2312" w:cs="仿宋_GB2312" w:eastAsia="仿宋_GB2312"/>
              </w:rPr>
              <w:t>图8</w:t>
            </w:r>
          </w:p>
          <w:p>
            <w:pPr>
              <w:pStyle w:val="null3"/>
              <w:spacing w:after="195"/>
              <w:jc w:val="left"/>
            </w:pPr>
            <w:r>
              <w:drawing>
                <wp:inline distT="0" distR="0" distB="0" distL="0">
                  <wp:extent cx="1181100" cy="1109350"/>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1181100" cy="1109350"/>
                          </a:xfrm>
                          <a:prstGeom prst="rect">
                            <a:avLst/>
                          </a:prstGeom>
                        </pic:spPr>
                      </pic:pic>
                    </a:graphicData>
                  </a:graphic>
                </wp:inline>
              </w:drawing>
            </w:r>
          </w:p>
          <w:p>
            <w:pPr>
              <w:pStyle w:val="null3"/>
              <w:spacing w:after="195"/>
              <w:jc w:val="left"/>
            </w:pPr>
            <w:r>
              <w:rPr>
                <w:rFonts w:ascii="仿宋_GB2312" w:hAnsi="仿宋_GB2312" w:cs="仿宋_GB2312" w:eastAsia="仿宋_GB2312"/>
              </w:rPr>
              <w:t>图9</w:t>
            </w:r>
          </w:p>
          <w:p>
            <w:pPr>
              <w:pStyle w:val="null3"/>
              <w:spacing w:after="195"/>
              <w:jc w:val="left"/>
            </w:pPr>
            <w:r>
              <w:drawing>
                <wp:inline distT="0" distR="0" distB="0" distL="0">
                  <wp:extent cx="1181100" cy="917920"/>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1181100" cy="917920"/>
                          </a:xfrm>
                          <a:prstGeom prst="rect">
                            <a:avLst/>
                          </a:prstGeom>
                        </pic:spPr>
                      </pic:pic>
                    </a:graphicData>
                  </a:graphic>
                </wp:inline>
              </w:drawing>
            </w:r>
          </w:p>
          <w:p>
            <w:pPr>
              <w:pStyle w:val="null3"/>
              <w:spacing w:after="195"/>
              <w:jc w:val="left"/>
            </w:pPr>
            <w:r>
              <w:rPr>
                <w:rFonts w:ascii="仿宋_GB2312" w:hAnsi="仿宋_GB2312" w:cs="仿宋_GB2312" w:eastAsia="仿宋_GB2312"/>
              </w:rPr>
              <w:t xml:space="preserve"> </w:t>
            </w:r>
          </w:p>
        </w:tc>
      </w:tr>
    </w:tbl>
    <w:p>
      <w:pPr>
        <w:pStyle w:val="null3"/>
        <w:outlineLvl w:val="2"/>
      </w:pPr>
      <w:r>
        <w:rPr>
          <w:rFonts w:ascii="仿宋_GB2312" w:hAnsi="仿宋_GB2312" w:cs="仿宋_GB2312" w:eastAsia="仿宋_GB2312"/>
          <w:sz w:val="28"/>
          <w:b/>
        </w:rPr>
        <w:t>3.2.3人员配置要求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本项目拟投入项目组成员包括但不限于项目经理、设计人员、配送安装人员和售后服务人员。供应商针对本项目提供人员配置方案，内容包括但不限于团队整体素质、团队服务经验、团队专业能力等。供应商须根据项目实际情况配备足量的人员保证项目人数充足。</w:t>
      </w:r>
    </w:p>
    <w:p>
      <w:pPr>
        <w:pStyle w:val="null3"/>
        <w:outlineLvl w:val="2"/>
      </w:pPr>
      <w:r>
        <w:rPr>
          <w:rFonts w:ascii="仿宋_GB2312" w:hAnsi="仿宋_GB2312" w:cs="仿宋_GB2312" w:eastAsia="仿宋_GB2312"/>
          <w:sz w:val="28"/>
          <w:b/>
        </w:rPr>
        <w:t>3.2.4设施设备要求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供应商在标识安装时需根据不同安装位置、不同材质，制定具有详细的安装方案和去除方案。标识标牌安装后，不破坏、不影响原有墙体等设备设施状态，如因安装标识标牌造成原有墙体等设备设施损坏的情况，由供应商完成修复并恢复原貌；安装时需保证标识标牌粘贴牢固，确保背胶不影响标识正面观感。 2.标识安装时，供应商须确保标识安装位置干净，避免因墙面脏污导致标识张贴后起泡、脱胶；同时需将原有标识清撤干净，在原有位置不残留余胶，并将在清撤过程中产生的废物清扫干净，不得覆盖安装，不损坏设备设施表面。在标识完全贴附后，应无发皱、斑点、起泡、裂纹、脱落等不良现象，表面应清洁无污垢，边界应清晰、顺直。</w:t>
      </w:r>
    </w:p>
    <w:p>
      <w:pPr>
        <w:pStyle w:val="null3"/>
        <w:outlineLvl w:val="2"/>
      </w:pPr>
      <w:r>
        <w:rPr>
          <w:rFonts w:ascii="仿宋_GB2312" w:hAnsi="仿宋_GB2312" w:cs="仿宋_GB2312" w:eastAsia="仿宋_GB2312"/>
          <w:sz w:val="28"/>
          <w:b/>
        </w:rPr>
        <w:t>3.2.5其他要求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1.在服务期间，成交供应商必须加强安全措施，确保人员安全，按照采购人要求高质量完成服务内容。设计方案需通过采购人审核后方可实施。 2.供应商售后服务响应：2小时内响应，4小时内到现场处理（如问题无法处理，必须提供备品备件）、更换，费用由供应商负责。如供应商在接到通知后24小时内没有答复和处理问题，则采购人有权委托第三方进行维修，并视为供应商承认质量问题并承担由此而发生的一切费用。质保期内产品的一切质量问题，更换部件及产品本身质量问题原因造成的采购人直接经济损失应全部由供应商自行负责。提供每年至少1次的免费巡回检修服务。</w:t>
      </w:r>
    </w:p>
    <w:p>
      <w:pPr>
        <w:pStyle w:val="null3"/>
        <w:outlineLvl w:val="2"/>
      </w:pPr>
      <w:r>
        <w:rPr>
          <w:rFonts w:ascii="仿宋_GB2312" w:hAnsi="仿宋_GB2312" w:cs="仿宋_GB2312" w:eastAsia="仿宋_GB2312"/>
          <w:sz w:val="28"/>
          <w:b/>
        </w:rPr>
        <w:t>3.3商务要求</w:t>
      </w:r>
    </w:p>
    <w:p>
      <w:pPr>
        <w:pStyle w:val="null3"/>
        <w:outlineLvl w:val="3"/>
      </w:pPr>
      <w:r>
        <w:rPr>
          <w:rFonts w:ascii="仿宋_GB2312" w:hAnsi="仿宋_GB2312" w:cs="仿宋_GB2312" w:eastAsia="仿宋_GB2312"/>
          <w:sz w:val="24"/>
          <w:b/>
        </w:rPr>
        <w:t>3.3.1服务期限</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自合同签订后1个月。</w:t>
      </w:r>
    </w:p>
    <w:p>
      <w:pPr>
        <w:pStyle w:val="null3"/>
        <w:outlineLvl w:val="3"/>
      </w:pPr>
      <w:r>
        <w:rPr>
          <w:rFonts w:ascii="仿宋_GB2312" w:hAnsi="仿宋_GB2312" w:cs="仿宋_GB2312" w:eastAsia="仿宋_GB2312"/>
          <w:sz w:val="24"/>
          <w:b/>
        </w:rPr>
        <w:t>3.3.2服务地点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西安浐灞国际港管理委员会</w:t>
      </w:r>
    </w:p>
    <w:p>
      <w:pPr>
        <w:pStyle w:val="null3"/>
        <w:outlineLvl w:val="3"/>
      </w:pPr>
      <w:r>
        <w:rPr>
          <w:rFonts w:ascii="仿宋_GB2312" w:hAnsi="仿宋_GB2312" w:cs="仿宋_GB2312" w:eastAsia="仿宋_GB2312"/>
          <w:sz w:val="24"/>
          <w:b/>
        </w:rPr>
        <w:t>3.3.3考核（验收）标准和方法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验收标准：符合国家法律法规规定的标准、竞争性磋商文件和乙方竞争性磋商响应文件所要求的技术标准。</w:t>
      </w:r>
    </w:p>
    <w:p>
      <w:pPr>
        <w:pStyle w:val="null3"/>
        <w:outlineLvl w:val="3"/>
      </w:pPr>
      <w:r>
        <w:rPr>
          <w:rFonts w:ascii="仿宋_GB2312" w:hAnsi="仿宋_GB2312" w:cs="仿宋_GB2312" w:eastAsia="仿宋_GB2312"/>
          <w:sz w:val="24"/>
          <w:b/>
        </w:rPr>
        <w:t>3.3.4支付方式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一次付清</w:t>
      </w:r>
    </w:p>
    <w:p>
      <w:pPr>
        <w:pStyle w:val="null3"/>
        <w:outlineLvl w:val="3"/>
      </w:pPr>
      <w:r>
        <w:rPr>
          <w:rFonts w:ascii="仿宋_GB2312" w:hAnsi="仿宋_GB2312" w:cs="仿宋_GB2312" w:eastAsia="仿宋_GB2312"/>
          <w:sz w:val="24"/>
          <w:b/>
        </w:rPr>
        <w:t>3.3.5支付约定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整个项目完成经采购人验收合格后一次性支付</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100.00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3.3.6违约责任及解决争议的方法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违约责任 1、成交供应商不能按期交付的，每逾期1日，成交供应商应向采购人赔付合同总价的1%作为违约金。 2、成交供应商所交成果不符合国家法律法规和合同规定的，采购人有权拒收，并由成交供应商承担一切费用。 3、成交供应商未能按时交付的，每延期一日应按结算总价款的3‰／天向采购人支付违约金（采购人有权从未支付款项中扣除）；无故延期15日以上视为根本性违约，采购人有权解除本合同，成交供应商除应全额退还采购人已支付的工程款外，还应向采购人支付违约金。 争议解决：双方本着友好合作的态度,对合同履行过程中发生的纠纷应及时协商解决,协商不成，向采购人所在地人民法院诉讼解决。</w:t>
      </w:r>
    </w:p>
    <w:p>
      <w:pPr>
        <w:pStyle w:val="null3"/>
        <w:outlineLvl w:val="2"/>
      </w:pPr>
      <w:r>
        <w:rPr>
          <w:rFonts w:ascii="仿宋_GB2312" w:hAnsi="仿宋_GB2312" w:cs="仿宋_GB2312" w:eastAsia="仿宋_GB2312"/>
          <w:sz w:val="28"/>
          <w:b/>
        </w:rPr>
        <w:t>3.4其他要求</w:t>
      </w:r>
    </w:p>
    <w:p>
      <w:pPr>
        <w:pStyle w:val="null3"/>
      </w:pPr>
      <w:r>
        <w:rPr>
          <w:rFonts w:ascii="仿宋_GB2312" w:hAnsi="仿宋_GB2312" w:cs="仿宋_GB2312" w:eastAsia="仿宋_GB2312"/>
        </w:rPr>
        <w:t>3.4.1成交供应商在领取成交通知书前须无偿为采购人提供盖章齐全的纸质版投标文件三套，正本1套，副本2套，纸质版应与电子投标文件保持一致。正本应为彩色打印件，副本可采用正本的复印件。纸质版文件与电子投标文件不一致由此造成的一切责任及后果由供应商自行承担。纸质版投标文件递交地址：西安市高新区唐延路1号旺座国际城座A座12楼，张经理 王经理，029-88825655。 3.4.2本项目专门面向中小企业，供应商应为中型、小型、微型企业或监狱企业或残疾人福利性单位。项目所属行业：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 3.4.3落实政府采购政策： ①、《关于进一步加大政府采购支持中小企业力度的通知》（财库〔2022〕19号）、《政府采购促进中小企业发展管理办法》（财库〔2020〕46号）、《关于政府采购支持监狱企业发展有关问题的通知》（财库〔2014〕68号）、《关于促进残疾人就业政府采购政策的通知》（财库〔2017〕141号）。 ②、财政部、国家发展改革委《关于印发〈节能产品政府采购实施意见〉的通知》（财库〔2004〕185号）、财政部、国家环保总局联合印发《关于环境标志产品政府采购实施的意见》（财库〔2006〕90号）、国务院办公厅《关于建立政府强制采购节能产品制度的通知》（国办发〔2007〕51号）、财政部、国家发改委、生态环境部、国家市场监督管理总局联合印发《关于调整优化节能产品、环境标志产品政府采购执行机制的通知》（财库〔2019〕9号）、《关于印发环境标志产品政府采购品目清单的通知》（财库〔2019〕18号）、《关于印发节能产品政府采购品目清单的通知》（财库〔2019〕19号）、《陕西省财政厅 关于进一步加强政府绿色采购有关问题的通知》陕财办采〔2021〕29号。 ③、《财政部 农业农村部 国家乡村振兴局关于运用政府采购政策支持乡村产业振兴的通知》（财库〔2021〕19 号）、《财政部农业农村部国家乡村振兴局 中华全国供销合作总社关于印发&lt;关于深入开展政府采购脱贫地区农副产品工作推进乡村产业振兴的实施意见&gt;的通知》（财库〔2021〕20 号）。 ④、《财政部 国家发展改革委 信息产业部 关于印发无线局域网产品政府采购实施意见的通知》（财库〔2005〕366号）、《国家互联网信息办公室 工业和信息化部 公安部 财政部 国家认证认可监督管理委员会关于调整网络安全专用产品安全管理有关事项的公告》（2023年第1号）。 ⑤、《陕西省财政厅关于加快推进我省中小企业政府采购信用融资工作的通知》（陕财办采〔2020〕15 号）、陕西省财政厅关于印发《陕西省中小企业政府采购信用融资办法》（陕财办采〔2018〕23 号）。 ⑥、国务院办公厅《关于建立政府强制采购节能产品制度的通知》（国办发〔2007〕51号） 《财政部 发展改革委 生态环境部 国家市场监督管理总局关于调整优化节能产品、环境标志产品政府采购执行机制的通知》（财库〔2019〕9号） 《关于印发环境标志产品政府采购品目清单的通知》（财库〔2019〕18号） 《关于印发节能产品政府采购品目清单的通知》（财库〔2019〕19号） 陕西省财政厅《关于进一步加强政府绿色采购有关问题的通知》（陕财办采〔2021〕29号） 《政府采购支持绿色建材促进建筑品质提升政策项目实施指南》的通知(财库〔2023〕52号)及《关于扩大政府采购支持绿色建材促进建筑品质提升政策实施范围的通知》(财库〔2022〕35号) 若享受以上政策优惠的企业，提供相应声明函或品目清单范围内产品的有效认证证书。</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（1）供应商合法注册的法人或其他组织的营业执照等证明文件，自然人的身份证明； （2）提供供应商2024年1月至今任意一个月已缴纳的完税凭证或税务机关开具的完税证明（任意税种）（银行出具的缴税凭证或税务机关出具的证明的复印件，并加盖本单位公章）。依法免税的供应商，应提供相应文件证明其依法免税。 （3）提供供应商2024年1月至今任意一个月已缴纳的社会保障资金缴存单据或社保机构开具的社会保险参保缴费情况证明，并加盖本单位公章。不需要缴纳社会保障资金的供应商，应提供相应文件证明其不需要缴纳社会保障资金； （4）具备履行合同所必需的设备和专业技术能力的承诺； （5）供应商参加政府采购活动前3年内在经营活动中没有重大违法记录的书面声明。供应商需在项目电子化交易系统中按要求填写《投标函》完成承诺并进行电子签章。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供应商应提交的相关资格证明材料.docx 响应函</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经审计的2023年度的财务报告或提交响应文件截止时间前三个月内其基本账户开户银行出具的资信证明（附开户许可证或开户备案证明）。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供应商应提交的相关资格证明材料.docx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（1）单位负责人为同一人或者存在直接控股、管理关系的不同供应商，不得参加本次采购活动； （2）为本项目提供整体设计、规范编制或者项目管理、监理、检测等服务的供应商，不得再参加该采购项目的其他采购活动。</w:t>
            </w:r>
          </w:p>
        </w:tc>
        <w:tc>
          <w:tcPr>
            <w:tcW w:type="dxa" w:w="1661"/>
          </w:tcPr>
          <w:p>
            <w:pPr>
              <w:pStyle w:val="null3"/>
            </w:pPr>
            <w:r>
              <w:rPr>
                <w:rFonts w:ascii="仿宋_GB2312" w:hAnsi="仿宋_GB2312" w:cs="仿宋_GB2312" w:eastAsia="仿宋_GB2312"/>
              </w:rPr>
              <w:t>供应商应提交的相关资格证明材料.docx 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参与的供应商（联合体）服务全部由符合政策要求的中小企业承接。</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法定代表人授权委托书</w:t>
            </w:r>
          </w:p>
        </w:tc>
        <w:tc>
          <w:tcPr>
            <w:tcW w:type="dxa" w:w="3322"/>
          </w:tcPr>
          <w:p>
            <w:pPr>
              <w:pStyle w:val="null3"/>
            </w:pPr>
            <w:r>
              <w:rPr>
                <w:rFonts w:ascii="仿宋_GB2312" w:hAnsi="仿宋_GB2312" w:cs="仿宋_GB2312" w:eastAsia="仿宋_GB2312"/>
              </w:rPr>
              <w:t>法定代表人参加竞争性磋商的，须出示身份证；法定代表人授权他人参加竞争性磋商的，须提供法定代表人授权委托书及被授权人身份证；</w:t>
            </w:r>
          </w:p>
        </w:tc>
        <w:tc>
          <w:tcPr>
            <w:tcW w:type="dxa" w:w="1661"/>
          </w:tcPr>
          <w:p>
            <w:pPr>
              <w:pStyle w:val="null3"/>
            </w:pPr>
            <w:r>
              <w:rPr>
                <w:rFonts w:ascii="仿宋_GB2312" w:hAnsi="仿宋_GB2312" w:cs="仿宋_GB2312" w:eastAsia="仿宋_GB2312"/>
              </w:rPr>
              <w:t>供应商应提交的相关资格证明材料.docx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信用记录</w:t>
            </w:r>
          </w:p>
        </w:tc>
        <w:tc>
          <w:tcPr>
            <w:tcW w:type="dxa" w:w="3322"/>
          </w:tcPr>
          <w:p>
            <w:pPr>
              <w:pStyle w:val="null3"/>
            </w:pPr>
            <w:r>
              <w:rPr>
                <w:rFonts w:ascii="仿宋_GB2312" w:hAnsi="仿宋_GB2312" w:cs="仿宋_GB2312" w:eastAsia="仿宋_GB2312"/>
              </w:rPr>
              <w:t>供应商在递交竞争性磋商响应文件截止时间前被“信用中国”网站（www.creditchina.gov.cn）和中国政府采购网（www.ccgp.gov.cn）上被列入失信被执行人、重大税收违法失信主体、政府采购严重违法失信行为记录名单的，不得参加磋商；</w:t>
            </w:r>
          </w:p>
        </w:tc>
        <w:tc>
          <w:tcPr>
            <w:tcW w:type="dxa" w:w="1661"/>
          </w:tcPr>
          <w:p>
            <w:pPr>
              <w:pStyle w:val="null3"/>
            </w:pPr>
            <w:r>
              <w:rPr>
                <w:rFonts w:ascii="仿宋_GB2312" w:hAnsi="仿宋_GB2312" w:cs="仿宋_GB2312" w:eastAsia="仿宋_GB2312"/>
              </w:rPr>
              <w:t>供应商应提交的相关资格证明材料.docx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联合体</w:t>
            </w:r>
          </w:p>
        </w:tc>
        <w:tc>
          <w:tcPr>
            <w:tcW w:type="dxa" w:w="3322"/>
          </w:tcPr>
          <w:p>
            <w:pPr>
              <w:pStyle w:val="null3"/>
            </w:pPr>
            <w:r>
              <w:rPr>
                <w:rFonts w:ascii="仿宋_GB2312" w:hAnsi="仿宋_GB2312" w:cs="仿宋_GB2312" w:eastAsia="仿宋_GB2312"/>
              </w:rPr>
              <w:t>本项目不接受联合体竞争性磋商。</w:t>
            </w:r>
          </w:p>
        </w:tc>
        <w:tc>
          <w:tcPr>
            <w:tcW w:type="dxa" w:w="1661"/>
          </w:tcPr>
          <w:p>
            <w:pPr>
              <w:pStyle w:val="null3"/>
            </w:pPr>
            <w:r>
              <w:rPr>
                <w:rFonts w:ascii="仿宋_GB2312" w:hAnsi="仿宋_GB2312" w:cs="仿宋_GB2312" w:eastAsia="仿宋_GB2312"/>
              </w:rPr>
              <w:t>供应商应提交的相关资格证明材料.docx</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规章，结合本采购项目特点制定本次竞争性磋商评审方法。</w:t>
      </w:r>
    </w:p>
    <w:p>
      <w:pPr>
        <w:pStyle w:val="null3"/>
        <w:ind w:firstLine="480"/>
      </w:pPr>
      <w:r>
        <w:rPr>
          <w:rFonts w:ascii="仿宋_GB2312" w:hAnsi="仿宋_GB2312" w:cs="仿宋_GB2312" w:eastAsia="仿宋_GB2312"/>
        </w:rPr>
        <w:t>二、评审工作由代理机构组织，具体评审事务由依法组建的磋商小组负责。</w:t>
      </w:r>
    </w:p>
    <w:p>
      <w:pPr>
        <w:pStyle w:val="null3"/>
        <w:ind w:firstLine="480"/>
      </w:pPr>
      <w:r>
        <w:rPr>
          <w:rFonts w:ascii="仿宋_GB2312" w:hAnsi="仿宋_GB2312" w:cs="仿宋_GB2312" w:eastAsia="仿宋_GB2312"/>
        </w:rPr>
        <w:t>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评审委员会成员使用互认的证书及签章进行签名后生效，供应商通过互认的证书及签章加盖其电子印章后生效。出现无法在线签章的特殊情况，评审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三、磋商小组按照磋商文件规定的磋商程序、评分方法和标准进行评审，并独立履行下列职责：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（三）根据需要要求采购组织单位对磋商文件作出解释；根据需要要求供应商对响应文件有关事项作出澄清、说明或者更正；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（五）起草资格审查报告、评审报告并进行签署；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 xml:space="preserve"> 6.3.1.熟悉和理解磋商文件和停止评审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（一）磋商文件的规定存在歧义、重大缺陷的；</w:t>
      </w:r>
    </w:p>
    <w:p>
      <w:pPr>
        <w:pStyle w:val="null3"/>
        <w:ind w:firstLine="480"/>
      </w:pPr>
      <w:r>
        <w:rPr>
          <w:rFonts w:ascii="仿宋_GB2312" w:hAnsi="仿宋_GB2312" w:cs="仿宋_GB2312" w:eastAsia="仿宋_GB2312"/>
        </w:rPr>
        <w:t>（二）磋商文件明显以不合理条件对供应商实行差别待遇或者歧视待遇的；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出现上述应当停止评审情形的，磋商小组应当通过项目电子化交易系统向采购组织单位提交相关说明材料，说明停止评审的情形和具体理由。除上述情形外，磋商小组不得以任何方式和理由停止评审。</w:t>
      </w:r>
    </w:p>
    <w:p>
      <w:pPr>
        <w:pStyle w:val="null3"/>
        <w:ind w:firstLine="480"/>
        <w:jc w:val="left"/>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 xml:space="preserve"> 6.3.2符合性审查</w:t>
      </w:r>
    </w:p>
    <w:p>
      <w:pPr>
        <w:pStyle w:val="null3"/>
        <w:ind w:firstLine="480"/>
      </w:pPr>
      <w:r>
        <w:rPr>
          <w:rFonts w:ascii="仿宋_GB2312" w:hAnsi="仿宋_GB2312" w:cs="仿宋_GB2312" w:eastAsia="仿宋_GB2312"/>
        </w:rPr>
        <w:t xml:space="preserve"> 一、磋商小组依据本磋商文件的实质性要求，对符合资格的响应文件进行审查，以确定其是否满足本磋商文件的实质性要求。本项目的符合性审查事项必须以本磋商文件的明确规定的实质性要求为依据。</w:t>
      </w:r>
    </w:p>
    <w:p>
      <w:pPr>
        <w:pStyle w:val="null3"/>
        <w:ind w:firstLine="480"/>
      </w:pPr>
      <w:r>
        <w:rPr>
          <w:rFonts w:ascii="仿宋_GB2312" w:hAnsi="仿宋_GB2312" w:cs="仿宋_GB2312" w:eastAsia="仿宋_GB2312"/>
        </w:rPr>
        <w:t xml:space="preserve"> 二、在符合性审查过程中，如果出现磋商小组成员意见不一致的情况，按照少数服从多数的原则确定，但不得违背政府采购基本原则和磋商文件规定。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三、磋商小组对所有响应文件进行审查后，确定参加磋商的供应商名单。</w:t>
      </w:r>
    </w:p>
    <w:p>
      <w:pPr>
        <w:pStyle w:val="null3"/>
        <w:ind w:firstLine="480"/>
      </w:pPr>
      <w:r>
        <w:rPr>
          <w:rFonts w:ascii="仿宋_GB2312" w:hAnsi="仿宋_GB2312" w:cs="仿宋_GB2312" w:eastAsia="仿宋_GB2312"/>
        </w:rPr>
        <w:t>符合性审查标准见下表：</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磋商过程中，磋商小组认为供应商的报价明显低于其他实质性响应的供应商报价，有可能影响产品质量或者不能诚信履约的，磋商小组应当要求其在评审现场合理的时间内提供成本构成书面说明，并提交相关证明材料。书面说明应当按照国家财务会计制度的规定要求，逐项就供应商提供的货物、工程和服务的主营业务成本（应根据供应商企业类型予以区别）、税金及附加、销售费用、管理费用、财务费用等成本构成事项详细陈述。 2.供应商提交的相关证明材料，应当加盖供应商（法定名称）电子印章，在磋商小组要求的时间内通过项目电子化交易系统进行提交，否则提交的相关证明材料无效。供应商不能证明其报价合理性的，磋商小组应当将其响应文件作为无效处理。</w:t>
            </w:r>
          </w:p>
        </w:tc>
        <w:tc>
          <w:tcPr>
            <w:tcW w:type="dxa" w:w="1661"/>
          </w:tcPr>
          <w:p>
            <w:pPr>
              <w:pStyle w:val="null3"/>
            </w:pPr>
            <w:r>
              <w:rPr>
                <w:rFonts w:ascii="仿宋_GB2312" w:hAnsi="仿宋_GB2312" w:cs="仿宋_GB2312" w:eastAsia="仿宋_GB2312"/>
              </w:rPr>
              <w:t>标的清单 报价表</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磋商响应文件的签署盖章</w:t>
            </w:r>
          </w:p>
        </w:tc>
        <w:tc>
          <w:tcPr>
            <w:tcW w:type="dxa" w:w="3322"/>
          </w:tcPr>
          <w:p>
            <w:pPr>
              <w:pStyle w:val="null3"/>
            </w:pPr>
            <w:r>
              <w:rPr>
                <w:rFonts w:ascii="仿宋_GB2312" w:hAnsi="仿宋_GB2312" w:cs="仿宋_GB2312" w:eastAsia="仿宋_GB2312"/>
              </w:rPr>
              <w:t>磋商响应文件上法定代表人或其授权代表人的签字齐全并加盖公章</w:t>
            </w:r>
          </w:p>
        </w:tc>
        <w:tc>
          <w:tcPr>
            <w:tcW w:type="dxa" w:w="1661"/>
          </w:tcPr>
          <w:p>
            <w:pPr>
              <w:pStyle w:val="null3"/>
            </w:pPr>
            <w:r>
              <w:rPr>
                <w:rFonts w:ascii="仿宋_GB2312" w:hAnsi="仿宋_GB2312" w:cs="仿宋_GB2312" w:eastAsia="仿宋_GB2312"/>
              </w:rPr>
              <w:t>业绩一览表.docx 服务内容及服务邀请应答表 中小企业声明函 商务应答表 报价表 响应文件封面 政府采购供应商拒绝政府采购领域商业贿赂承诺书.docx 供应商应提交的相关资格证明材料.docx 残疾人福利性单位声明函 标的清单 磋商报价表及分项报价表.docx 响应函 服务方案.docx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服务期限</w:t>
            </w:r>
          </w:p>
        </w:tc>
        <w:tc>
          <w:tcPr>
            <w:tcW w:type="dxa" w:w="3322"/>
          </w:tcPr>
          <w:p>
            <w:pPr>
              <w:pStyle w:val="null3"/>
            </w:pPr>
            <w:r>
              <w:rPr>
                <w:rFonts w:ascii="仿宋_GB2312" w:hAnsi="仿宋_GB2312" w:cs="仿宋_GB2312" w:eastAsia="仿宋_GB2312"/>
              </w:rPr>
              <w:t>满足磋商文件要求</w:t>
            </w:r>
          </w:p>
        </w:tc>
        <w:tc>
          <w:tcPr>
            <w:tcW w:type="dxa" w:w="1661"/>
          </w:tcPr>
          <w:p>
            <w:pPr>
              <w:pStyle w:val="null3"/>
            </w:pPr>
            <w:r>
              <w:rPr>
                <w:rFonts w:ascii="仿宋_GB2312" w:hAnsi="仿宋_GB2312" w:cs="仿宋_GB2312" w:eastAsia="仿宋_GB2312"/>
              </w:rPr>
              <w:t>磋商报价表及分项报价表.docx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投标文件有效期</w:t>
            </w:r>
          </w:p>
        </w:tc>
        <w:tc>
          <w:tcPr>
            <w:tcW w:type="dxa" w:w="3322"/>
          </w:tcPr>
          <w:p>
            <w:pPr>
              <w:pStyle w:val="null3"/>
            </w:pPr>
            <w:r>
              <w:rPr>
                <w:rFonts w:ascii="仿宋_GB2312" w:hAnsi="仿宋_GB2312" w:cs="仿宋_GB2312" w:eastAsia="仿宋_GB2312"/>
              </w:rPr>
              <w:t>有效期满足磋商文件要求的</w:t>
            </w:r>
          </w:p>
        </w:tc>
        <w:tc>
          <w:tcPr>
            <w:tcW w:type="dxa" w:w="1661"/>
          </w:tcPr>
          <w:p>
            <w:pPr>
              <w:pStyle w:val="null3"/>
            </w:pPr>
            <w:r>
              <w:rPr>
                <w:rFonts w:ascii="仿宋_GB2312" w:hAnsi="仿宋_GB2312" w:cs="仿宋_GB2312" w:eastAsia="仿宋_GB2312"/>
              </w:rPr>
              <w:t>响应函</w:t>
            </w:r>
          </w:p>
        </w:tc>
      </w:tr>
    </w:tbl>
    <w:p>
      <w:pPr>
        <w:pStyle w:val="null3"/>
        <w:outlineLvl w:val="3"/>
      </w:pPr>
      <w:r>
        <w:rPr>
          <w:rFonts w:ascii="仿宋_GB2312" w:hAnsi="仿宋_GB2312" w:cs="仿宋_GB2312" w:eastAsia="仿宋_GB2312"/>
          <w:sz w:val="24"/>
          <w:b/>
        </w:rPr>
        <w:t>6.3.3磋商</w:t>
      </w:r>
    </w:p>
    <w:p>
      <w:pPr>
        <w:pStyle w:val="null3"/>
        <w:ind w:firstLine="480"/>
      </w:pPr>
      <w:r>
        <w:rPr>
          <w:rFonts w:ascii="仿宋_GB2312" w:hAnsi="仿宋_GB2312" w:cs="仿宋_GB2312" w:eastAsia="仿宋_GB2312"/>
        </w:rPr>
        <w:t>一、 磋商小组按照磋商文件的规定与邀请参加磋商的供应商分别进行磋商，磋商顺序由磋商小组确定。</w:t>
      </w:r>
    </w:p>
    <w:p>
      <w:pPr>
        <w:pStyle w:val="null3"/>
        <w:ind w:firstLine="480"/>
      </w:pPr>
      <w:r>
        <w:rPr>
          <w:rFonts w:ascii="仿宋_GB2312" w:hAnsi="仿宋_GB2312" w:cs="仿宋_GB2312" w:eastAsia="仿宋_GB2312"/>
        </w:rPr>
        <w:t>二、 磋商小组所有成员集中与单一供应商对技术、服务、合同条款等内容分别进行一轮或多轮的磋商。在磋商中，磋商的任何一方不得透露与磋商有关的其他供应商的技术资料、价格和其他信息。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三、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ind w:firstLine="480"/>
      </w:pPr>
      <w:r>
        <w:rPr>
          <w:rFonts w:ascii="仿宋_GB2312" w:hAnsi="仿宋_GB2312" w:cs="仿宋_GB2312" w:eastAsia="仿宋_GB2312"/>
        </w:rPr>
        <w:t>四、 对磋商文件作出的实质性变动是磋商文件的有效组成部分，磋商小组应通过项目电子化交易系统，将变动情况同时通知所有参加磋商的供应商。磋商过程中，磋商小组可以根据磋商情况调整磋商轮次。</w:t>
      </w:r>
    </w:p>
    <w:p>
      <w:pPr>
        <w:pStyle w:val="null3"/>
        <w:ind w:firstLine="480"/>
      </w:pPr>
      <w:r>
        <w:rPr>
          <w:rFonts w:ascii="仿宋_GB2312" w:hAnsi="仿宋_GB2312" w:cs="仿宋_GB2312" w:eastAsia="仿宋_GB2312"/>
        </w:rPr>
        <w:t>五、 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六、经最终磋商后，响应文件仍有下列情况之一的，应按照无效响应处理：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不能详细列明采购标的的技术、服务要求，需由供应商提供最终设计方案或解决方案的，磋商/谈判/协商结束后，磋商/谈判/协商小组应当按照少数服从多数的原则投票推荐3家实质性响应的供应商的设计方案或解决方案，进入最后报价环节；不足3家的，终止本次采购活动。</w:t>
      </w:r>
    </w:p>
    <w:p>
      <w:pPr>
        <w:pStyle w:val="null3"/>
        <w:ind w:firstLine="480"/>
      </w:pPr>
      <w:r>
        <w:rPr>
          <w:rFonts w:ascii="仿宋_GB2312" w:hAnsi="仿宋_GB2312" w:cs="仿宋_GB2312" w:eastAsia="仿宋_GB2312"/>
        </w:rPr>
        <w:t xml:space="preserve"> 二、磋商小组开启报价后，供应商应随时关注项目电子化交易系统信息提醒，登录项目电子化交易系统，通过“等候大厅”进行报价并签章后提交。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三、供应商在未提高响应文件中承诺的标准情况下，其最后报价不得高于对该项目之前的报价，否则，磋商小组将对其响应文件作无效处理，并通过电子化交易系统告知供应商，说明理由。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jc w:val="left"/>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（二）单价金额小数点或者百分比有明显错位的，应以总价为准，并修改单价；</w:t>
      </w:r>
    </w:p>
    <w:p>
      <w:pPr>
        <w:pStyle w:val="null3"/>
        <w:ind w:firstLine="480"/>
      </w:pPr>
      <w:r>
        <w:rPr>
          <w:rFonts w:ascii="仿宋_GB2312" w:hAnsi="仿宋_GB2312" w:cs="仿宋_GB2312" w:eastAsia="仿宋_GB2312"/>
        </w:rPr>
        <w:t>（三）总价金额与按单价汇总金额不一致的，以单价汇总金额计算结果为准；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（一）供应商响应文件中不响应磋商文件规定的技术参数指标和商务应答；</w:t>
      </w:r>
    </w:p>
    <w:p>
      <w:pPr>
        <w:pStyle w:val="null3"/>
        <w:ind w:firstLine="480"/>
      </w:pPr>
      <w:r>
        <w:rPr>
          <w:rFonts w:ascii="仿宋_GB2312" w:hAnsi="仿宋_GB2312" w:cs="仿宋_GB2312" w:eastAsia="仿宋_GB2312"/>
        </w:rPr>
        <w:t>（二）供应商响应文件中未提供的证明其是否符合磋商文件资格、符合性规定要求的相关材料。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五、代理机构宣布评审结束之前，供应商应通过项目电子化交易系统随时关注评审消息提示，及时响应磋商小组发出的澄清、说明或更正要求。供应商未能及时响应的，自行承担不利后果。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磋商小组应当按照磋商文件规定的评标细则及标准，对符合性检查合格的响应文件进行商务和技术评估，综合比较和评价。</w:t>
      </w:r>
    </w:p>
    <w:p>
      <w:pPr>
        <w:pStyle w:val="null3"/>
        <w:outlineLvl w:val="3"/>
      </w:pPr>
      <w:r>
        <w:rPr>
          <w:rFonts w:ascii="仿宋_GB2312" w:hAnsi="仿宋_GB2312" w:cs="仿宋_GB2312" w:eastAsia="仿宋_GB2312"/>
          <w:sz w:val="24"/>
          <w:b/>
        </w:rPr>
        <w:t xml:space="preserve"> 6.3.7复核</w:t>
      </w:r>
    </w:p>
    <w:p>
      <w:pPr>
        <w:pStyle w:val="null3"/>
        <w:ind w:firstLine="480"/>
      </w:pPr>
      <w:r>
        <w:rPr>
          <w:rFonts w:ascii="仿宋_GB2312" w:hAnsi="仿宋_GB2312" w:cs="仿宋_GB2312" w:eastAsia="仿宋_GB2312"/>
        </w:rPr>
        <w:t xml:space="preserve"> 评审结束后，磋商小组应当进行复核，特别要对拟推荐为成交候选供应商的、报价最低的、响应文件被认定为无效的进行重点复核。</w:t>
      </w:r>
    </w:p>
    <w:p>
      <w:pPr>
        <w:pStyle w:val="null3"/>
        <w:ind w:firstLine="480"/>
      </w:pPr>
      <w:r>
        <w:rPr>
          <w:rFonts w:ascii="仿宋_GB2312" w:hAnsi="仿宋_GB2312" w:cs="仿宋_GB2312" w:eastAsia="仿宋_GB2312"/>
        </w:rPr>
        <w:t xml:space="preserve"> 评审结果汇总完成后，磋商小组拟出具磋商报告前，代理机构应当组织2名以上的工作人员，在采购现场监督人员的监督之下，依据有关的法律制度和磋商文件对评审结果进行复核，出具复核报告。代理机构复核过程中，磋商小组成员不得离开评审现场。</w:t>
      </w:r>
    </w:p>
    <w:p>
      <w:pPr>
        <w:pStyle w:val="null3"/>
        <w:ind w:firstLine="480"/>
      </w:pPr>
      <w:r>
        <w:rPr>
          <w:rFonts w:ascii="仿宋_GB2312" w:hAnsi="仿宋_GB2312" w:cs="仿宋_GB2312" w:eastAsia="仿宋_GB2312"/>
        </w:rPr>
        <w:t xml:space="preserve"> 除资格检查认定错误、分值汇总计算错误、分项评分超出评分标准范围、客观评分不一致、经磋商小组一致认定评分畸高、畸低的情形外，采购人或者代理机构不得以任何理由组织重新评审。采购人、代理机构发现磋商小组未按照磋商文件规定的评审标准进行评审的，应当重新开展采购活动，并同时书面报告本级财政部门。</w:t>
      </w:r>
    </w:p>
    <w:p>
      <w:pPr>
        <w:pStyle w:val="null3"/>
        <w:outlineLvl w:val="3"/>
      </w:pPr>
      <w:r>
        <w:rPr>
          <w:rFonts w:ascii="仿宋_GB2312" w:hAnsi="仿宋_GB2312" w:cs="仿宋_GB2312" w:eastAsia="仿宋_GB2312"/>
          <w:sz w:val="24"/>
          <w:b/>
        </w:rPr>
        <w:t>6.3.8推荐成交候选供应商</w:t>
      </w:r>
    </w:p>
    <w:p>
      <w:pPr>
        <w:pStyle w:val="null3"/>
        <w:ind w:firstLine="480"/>
      </w:pPr>
      <w:r>
        <w:rPr>
          <w:rFonts w:ascii="仿宋_GB2312" w:hAnsi="仿宋_GB2312" w:cs="仿宋_GB2312" w:eastAsia="仿宋_GB2312"/>
        </w:rPr>
        <w:t xml:space="preserve"> 磋商小组应当根据综合评分情况，按照评审得分由高到低顺序推荐如下成交候选供应商，并编写磋商报告。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6.3.9编写磋商报告</w:t>
      </w:r>
    </w:p>
    <w:p>
      <w:pPr>
        <w:pStyle w:val="null3"/>
        <w:ind w:firstLine="480"/>
      </w:pPr>
      <w:r>
        <w:rPr>
          <w:rFonts w:ascii="仿宋_GB2312" w:hAnsi="仿宋_GB2312" w:cs="仿宋_GB2312" w:eastAsia="仿宋_GB2312"/>
        </w:rPr>
        <w:t>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6.3.10评审争议处理规则</w:t>
      </w:r>
    </w:p>
    <w:p>
      <w:pPr>
        <w:pStyle w:val="null3"/>
        <w:ind w:firstLine="480"/>
      </w:pPr>
      <w:r>
        <w:rPr>
          <w:rFonts w:ascii="仿宋_GB2312" w:hAnsi="仿宋_GB2312" w:cs="仿宋_GB2312" w:eastAsia="仿宋_GB2312"/>
        </w:rPr>
        <w:t xml:space="preserve"> 在磋商过程中，对于符合性审查、对响应文件作无效响应处理的及其他需要共同认定的事项存在争议的，应当以少数服从多数的原则作出结论，但不得违背磋商文件规定。持不同意见的磋商小组成员应当在磋商报告中签署不同意见及理由，否则视为同意评审报告。持不同意见的磋商小组成员认为认定过程和结果不符合法律法规或者磋商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 xml:space="preserve"> 一、磋商小组只对通过资格审查的响应文件，根据磋商文件的要求采用相同的评审程序、评分办法及标准进行评价和比较。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详细评审80.0000分</w:t>
            </w:r>
          </w:p>
          <w:p>
            <w:pPr>
              <w:pStyle w:val="null3"/>
            </w:pPr>
            <w:r>
              <w:rPr>
                <w:rFonts w:ascii="仿宋_GB2312" w:hAnsi="仿宋_GB2312" w:cs="仿宋_GB2312" w:eastAsia="仿宋_GB2312"/>
              </w:rPr>
              <w:t>报价得分20.0000分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设计方案</w:t>
            </w:r>
          </w:p>
        </w:tc>
        <w:tc>
          <w:tcPr>
            <w:tcW w:type="dxa" w:w="2492"/>
          </w:tcPr>
          <w:p>
            <w:pPr>
              <w:pStyle w:val="null3"/>
            </w:pPr>
            <w:r>
              <w:rPr>
                <w:rFonts w:ascii="仿宋_GB2312" w:hAnsi="仿宋_GB2312" w:cs="仿宋_GB2312" w:eastAsia="仿宋_GB2312"/>
              </w:rPr>
              <w:t>供应商提供针对本项目的设计方案，方案针对本项目设计提出：1、设计思路和理念；2、符合实际情况的功能设计；3、详细的细节设计。方案各项内容全面详细、阐述条理清晰详尽、完全符合本项目采购需求、能有效保障本项目实施的得（6-9]分;方案各项内容较全面、阐述条理较清晰、能够符合本项目采购需求、有效保障本项目实施的得（3-6]分；方案各项内容一般、阐述条理一般、符合本项目采购需求、确保本项目实施的得[0-3]分。未提供不得分。</w:t>
            </w:r>
          </w:p>
        </w:tc>
        <w:tc>
          <w:tcPr>
            <w:tcW w:type="dxa" w:w="831"/>
          </w:tcPr>
          <w:p>
            <w:pPr>
              <w:pStyle w:val="null3"/>
              <w:jc w:val="right"/>
            </w:pPr>
            <w:r>
              <w:rPr>
                <w:rFonts w:ascii="仿宋_GB2312" w:hAnsi="仿宋_GB2312" w:cs="仿宋_GB2312" w:eastAsia="仿宋_GB2312"/>
              </w:rPr>
              <w:t>9.0000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服务方案.docx</w:t>
            </w:r>
          </w:p>
        </w:tc>
      </w:tr>
      <w:tr>
        <w:tc>
          <w:tcPr>
            <w:tcW w:type="dxa" w:w="831"/>
            <w:vMerge/>
          </w:tcPr>
          <w:p/>
        </w:tc>
        <w:tc>
          <w:tcPr>
            <w:tcW w:type="dxa" w:w="1661"/>
          </w:tcPr>
          <w:p>
            <w:pPr>
              <w:pStyle w:val="null3"/>
            </w:pPr>
            <w:r>
              <w:rPr>
                <w:rFonts w:ascii="仿宋_GB2312" w:hAnsi="仿宋_GB2312" w:cs="仿宋_GB2312" w:eastAsia="仿宋_GB2312"/>
              </w:rPr>
              <w:t>制作方案</w:t>
            </w:r>
          </w:p>
        </w:tc>
        <w:tc>
          <w:tcPr>
            <w:tcW w:type="dxa" w:w="2492"/>
          </w:tcPr>
          <w:p>
            <w:pPr>
              <w:pStyle w:val="null3"/>
            </w:pPr>
            <w:r>
              <w:rPr>
                <w:rFonts w:ascii="仿宋_GB2312" w:hAnsi="仿宋_GB2312" w:cs="仿宋_GB2312" w:eastAsia="仿宋_GB2312"/>
              </w:rPr>
              <w:t>供应商提供针对本项目的制作方案，方案针对本项目设计提出：1、整体制作方案；2、生产工艺及标准；3、产品主材投入情况。方案各项内容全面详细、阐述条理清晰详尽、符合本项目采购需求、能有效保障本项目实施的得（6-9]分；方案各项内容较全面、阐述条理较清晰、能够符合本项目采购需求、有效保障本项目实施的得（3-6]分；方案各项内容一般、阐述条理一般、符合本项目采购需求、确保本项目实施的得[0-3]分。未提供不得分。</w:t>
            </w:r>
          </w:p>
        </w:tc>
        <w:tc>
          <w:tcPr>
            <w:tcW w:type="dxa" w:w="831"/>
          </w:tcPr>
          <w:p>
            <w:pPr>
              <w:pStyle w:val="null3"/>
              <w:jc w:val="right"/>
            </w:pPr>
            <w:r>
              <w:rPr>
                <w:rFonts w:ascii="仿宋_GB2312" w:hAnsi="仿宋_GB2312" w:cs="仿宋_GB2312" w:eastAsia="仿宋_GB2312"/>
              </w:rPr>
              <w:t>9.0000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服务方案.docx</w:t>
            </w:r>
          </w:p>
        </w:tc>
      </w:tr>
      <w:tr>
        <w:tc>
          <w:tcPr>
            <w:tcW w:type="dxa" w:w="831"/>
            <w:vMerge/>
          </w:tcPr>
          <w:p/>
        </w:tc>
        <w:tc>
          <w:tcPr>
            <w:tcW w:type="dxa" w:w="1661"/>
          </w:tcPr>
          <w:p>
            <w:pPr>
              <w:pStyle w:val="null3"/>
            </w:pPr>
            <w:r>
              <w:rPr>
                <w:rFonts w:ascii="仿宋_GB2312" w:hAnsi="仿宋_GB2312" w:cs="仿宋_GB2312" w:eastAsia="仿宋_GB2312"/>
              </w:rPr>
              <w:t>质量保证</w:t>
            </w:r>
          </w:p>
        </w:tc>
        <w:tc>
          <w:tcPr>
            <w:tcW w:type="dxa" w:w="2492"/>
          </w:tcPr>
          <w:p>
            <w:pPr>
              <w:pStyle w:val="null3"/>
            </w:pPr>
            <w:r>
              <w:rPr>
                <w:rFonts w:ascii="仿宋_GB2312" w:hAnsi="仿宋_GB2312" w:cs="仿宋_GB2312" w:eastAsia="仿宋_GB2312"/>
              </w:rPr>
              <w:t>产品主材质量进货渠道正规，并能够提供产品说明书等相关资料。（包括但不限于检测报告、原材料进货渠道证明材料、环保证书等）确保生产供应的产品无假货、水货、翻新货且无产权纠纷，提供的投标产品合法来源渠道证明文件齐全；得（6-7]分； 提供了大部分产品来源渠道证明文件，得（3-6]分； 产品来源渠道证明文件内容有缺陷、单一、响应粗略得[0-3]分。未提供不得分。</w:t>
            </w:r>
          </w:p>
        </w:tc>
        <w:tc>
          <w:tcPr>
            <w:tcW w:type="dxa" w:w="831"/>
          </w:tcPr>
          <w:p>
            <w:pPr>
              <w:pStyle w:val="null3"/>
              <w:jc w:val="right"/>
            </w:pPr>
            <w:r>
              <w:rPr>
                <w:rFonts w:ascii="仿宋_GB2312" w:hAnsi="仿宋_GB2312" w:cs="仿宋_GB2312" w:eastAsia="仿宋_GB2312"/>
              </w:rPr>
              <w:t>7.0000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服务方案.docx</w:t>
            </w:r>
          </w:p>
        </w:tc>
      </w:tr>
      <w:tr>
        <w:tc>
          <w:tcPr>
            <w:tcW w:type="dxa" w:w="831"/>
            <w:vMerge/>
          </w:tcPr>
          <w:p/>
        </w:tc>
        <w:tc>
          <w:tcPr>
            <w:tcW w:type="dxa" w:w="1661"/>
          </w:tcPr>
          <w:p>
            <w:pPr>
              <w:pStyle w:val="null3"/>
            </w:pPr>
            <w:r>
              <w:rPr>
                <w:rFonts w:ascii="仿宋_GB2312" w:hAnsi="仿宋_GB2312" w:cs="仿宋_GB2312" w:eastAsia="仿宋_GB2312"/>
              </w:rPr>
              <w:t>实施方案</w:t>
            </w:r>
          </w:p>
        </w:tc>
        <w:tc>
          <w:tcPr>
            <w:tcW w:type="dxa" w:w="2492"/>
          </w:tcPr>
          <w:p>
            <w:pPr>
              <w:pStyle w:val="null3"/>
            </w:pPr>
            <w:r>
              <w:rPr>
                <w:rFonts w:ascii="仿宋_GB2312" w:hAnsi="仿宋_GB2312" w:cs="仿宋_GB2312" w:eastAsia="仿宋_GB2312"/>
              </w:rPr>
              <w:t>供应商提供针对本项目的实施方案，方案针对本项目实施提出：1、机械设备投入；2、安全文明施工及环境保护措施；3、运输安装和进度安排。4、成品保护。方案各项内容全面详细、阐述条理清晰详尽、符合本项目采购需求、能有效保障本项目实施的得得（8-12]分；方案各项内容较全面、阐述条理较清晰、能够符合本项目采购需求、有效保障本项目实施的得（4-8]分；方案各项内容一般、阐述条理一般、符合本项目采购需求、确保本项目实施的得[0-4]分。未提供不得分。</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服务方案.docx</w:t>
            </w:r>
          </w:p>
        </w:tc>
      </w:tr>
      <w:tr>
        <w:tc>
          <w:tcPr>
            <w:tcW w:type="dxa" w:w="831"/>
            <w:vMerge/>
          </w:tcPr>
          <w:p/>
        </w:tc>
        <w:tc>
          <w:tcPr>
            <w:tcW w:type="dxa" w:w="1661"/>
          </w:tcPr>
          <w:p>
            <w:pPr>
              <w:pStyle w:val="null3"/>
            </w:pPr>
            <w:r>
              <w:rPr>
                <w:rFonts w:ascii="仿宋_GB2312" w:hAnsi="仿宋_GB2312" w:cs="仿宋_GB2312" w:eastAsia="仿宋_GB2312"/>
              </w:rPr>
              <w:t>团队配备方案</w:t>
            </w:r>
          </w:p>
        </w:tc>
        <w:tc>
          <w:tcPr>
            <w:tcW w:type="dxa" w:w="2492"/>
          </w:tcPr>
          <w:p>
            <w:pPr>
              <w:pStyle w:val="null3"/>
            </w:pPr>
            <w:r>
              <w:rPr>
                <w:rFonts w:ascii="仿宋_GB2312" w:hAnsi="仿宋_GB2312" w:cs="仿宋_GB2312" w:eastAsia="仿宋_GB2312"/>
              </w:rPr>
              <w:t>供应商结合项目实际情况提供针对本项目的团队配备方案，项目组成人员包括但不限于项目经理、设计人员、配送安装人员、售后服务人员等；人员结构及数量配备合理，专业能力描述完整、细节描述详细、工作经验丰富的计（6-9]分，人员结构及数量配备基本较合理，内容基本完整的计（3-6]分,人员结构及数量配备一般，内容一般的计[0-3]分。未提供不得分。</w:t>
            </w:r>
          </w:p>
        </w:tc>
        <w:tc>
          <w:tcPr>
            <w:tcW w:type="dxa" w:w="831"/>
          </w:tcPr>
          <w:p>
            <w:pPr>
              <w:pStyle w:val="null3"/>
              <w:jc w:val="right"/>
            </w:pPr>
            <w:r>
              <w:rPr>
                <w:rFonts w:ascii="仿宋_GB2312" w:hAnsi="仿宋_GB2312" w:cs="仿宋_GB2312" w:eastAsia="仿宋_GB2312"/>
              </w:rPr>
              <w:t>9.0000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服务方案.docx</w:t>
            </w:r>
          </w:p>
        </w:tc>
      </w:tr>
      <w:tr>
        <w:tc>
          <w:tcPr>
            <w:tcW w:type="dxa" w:w="831"/>
            <w:vMerge/>
          </w:tcPr>
          <w:p/>
        </w:tc>
        <w:tc>
          <w:tcPr>
            <w:tcW w:type="dxa" w:w="1661"/>
          </w:tcPr>
          <w:p>
            <w:pPr>
              <w:pStyle w:val="null3"/>
            </w:pPr>
            <w:r>
              <w:rPr>
                <w:rFonts w:ascii="仿宋_GB2312" w:hAnsi="仿宋_GB2312" w:cs="仿宋_GB2312" w:eastAsia="仿宋_GB2312"/>
              </w:rPr>
              <w:t>所投产品选型、技术参数</w:t>
            </w:r>
          </w:p>
        </w:tc>
        <w:tc>
          <w:tcPr>
            <w:tcW w:type="dxa" w:w="2492"/>
          </w:tcPr>
          <w:p>
            <w:pPr>
              <w:pStyle w:val="null3"/>
            </w:pPr>
            <w:r>
              <w:rPr>
                <w:rFonts w:ascii="仿宋_GB2312" w:hAnsi="仿宋_GB2312" w:cs="仿宋_GB2312" w:eastAsia="仿宋_GB2312"/>
              </w:rPr>
              <w:t>所投产品选型、技术参数等完全响应采购文件要求，数量准确无缺漏项，完全符合使用要求计（4-6]分；所投产品选型、技术参数等基本响应采购文件要求，数量基本准确无缺漏项，基本符合使用要求计[0-4]分。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服务方案.docx</w:t>
            </w:r>
          </w:p>
        </w:tc>
      </w:tr>
      <w:tr>
        <w:tc>
          <w:tcPr>
            <w:tcW w:type="dxa" w:w="831"/>
            <w:vMerge/>
          </w:tcPr>
          <w:p/>
        </w:tc>
        <w:tc>
          <w:tcPr>
            <w:tcW w:type="dxa" w:w="1661"/>
          </w:tcPr>
          <w:p>
            <w:pPr>
              <w:pStyle w:val="null3"/>
            </w:pPr>
            <w:r>
              <w:rPr>
                <w:rFonts w:ascii="仿宋_GB2312" w:hAnsi="仿宋_GB2312" w:cs="仿宋_GB2312" w:eastAsia="仿宋_GB2312"/>
              </w:rPr>
              <w:t>售后服务方案</w:t>
            </w:r>
          </w:p>
        </w:tc>
        <w:tc>
          <w:tcPr>
            <w:tcW w:type="dxa" w:w="2492"/>
          </w:tcPr>
          <w:p>
            <w:pPr>
              <w:pStyle w:val="null3"/>
            </w:pPr>
            <w:r>
              <w:rPr>
                <w:rFonts w:ascii="仿宋_GB2312" w:hAnsi="仿宋_GB2312" w:cs="仿宋_GB2312" w:eastAsia="仿宋_GB2312"/>
              </w:rPr>
              <w:t>供应商提供针对本项目的售后服务方案，方案针对本项目售后服务提出：1、售后服务人员安排；2、服务承诺及响应时间；3、维护维修方案；4、合理化建议。内容全面详细、阐述条理清晰，能有效保障本项目实施得（8-12]分；方案各项内容较全面、阐述条理较清晰、能够符合本项目采购需求、有效保障本项目实施的得（4-8]分；方案各项内容一般、阐述条理一般、符合本项目采购需求、确保本项目实施的得[0-4]分。未提供不得分。</w:t>
            </w:r>
          </w:p>
        </w:tc>
        <w:tc>
          <w:tcPr>
            <w:tcW w:type="dxa" w:w="831"/>
          </w:tcPr>
          <w:p>
            <w:pPr>
              <w:pStyle w:val="null3"/>
              <w:jc w:val="right"/>
            </w:pPr>
            <w:r>
              <w:rPr>
                <w:rFonts w:ascii="仿宋_GB2312" w:hAnsi="仿宋_GB2312" w:cs="仿宋_GB2312" w:eastAsia="仿宋_GB2312"/>
              </w:rPr>
              <w:t>12.0000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服务方案.docx</w:t>
            </w:r>
          </w:p>
        </w:tc>
      </w:tr>
      <w:tr>
        <w:tc>
          <w:tcPr>
            <w:tcW w:type="dxa" w:w="831"/>
            <w:vMerge/>
          </w:tcPr>
          <w:p/>
        </w:tc>
        <w:tc>
          <w:tcPr>
            <w:tcW w:type="dxa" w:w="1661"/>
          </w:tcPr>
          <w:p>
            <w:pPr>
              <w:pStyle w:val="null3"/>
            </w:pPr>
            <w:r>
              <w:rPr>
                <w:rFonts w:ascii="仿宋_GB2312" w:hAnsi="仿宋_GB2312" w:cs="仿宋_GB2312" w:eastAsia="仿宋_GB2312"/>
              </w:rPr>
              <w:t>服务保障承诺</w:t>
            </w:r>
          </w:p>
        </w:tc>
        <w:tc>
          <w:tcPr>
            <w:tcW w:type="dxa" w:w="2492"/>
          </w:tcPr>
          <w:p>
            <w:pPr>
              <w:pStyle w:val="null3"/>
            </w:pPr>
            <w:r>
              <w:rPr>
                <w:rFonts w:ascii="仿宋_GB2312" w:hAnsi="仿宋_GB2312" w:cs="仿宋_GB2312" w:eastAsia="仿宋_GB2312"/>
              </w:rPr>
              <w:t>响应文件中针对服务保障，提供承诺，如质保期延长、定期为用户免费保养、检修等内容，得(3-6]分。承诺简单，单一的，得[0-3]分。未提供不得分。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服务方案.docx</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提供2022年至今类似项目业绩，提供1份得2分，满分10分。 （以合同签订时间为准，提供合同复印件加盖公章）未提供不得分。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业绩一览表.docx</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满足磋商文件要求且最后报价最低的供应商的价格为磋商基准价，其价格分为满分。其他供应商的价格分统一按照下列公式计算：磋商报价得分=（磋商基准价/最后磋商报价）×价格权值（20%）×100</w:t>
            </w:r>
          </w:p>
        </w:tc>
        <w:tc>
          <w:tcPr>
            <w:tcW w:type="dxa" w:w="831"/>
          </w:tcPr>
          <w:p>
            <w:pPr>
              <w:pStyle w:val="null3"/>
              <w:jc w:val="right"/>
            </w:pPr>
            <w:r>
              <w:rPr>
                <w:rFonts w:ascii="仿宋_GB2312" w:hAnsi="仿宋_GB2312" w:cs="仿宋_GB2312" w:eastAsia="仿宋_GB2312"/>
              </w:rPr>
              <w:t>20.0000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6.5终止采购活动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 xml:space="preserve"> （三）除《政府采购竞争性磋商采购方式管理暂行办法》第二十一条第三款规定的情形外，在采购过程中符合要求的供应商或者报价未超过采购预算的供应商不足3家的（财政部另有规定的除外）；</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6.6确定成交供应商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6.7评审专家在政府采购活动中承担以下义务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6.8评审专家在政府采购活动中应当遵守以下工作纪律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不得发表倾向性、引导性意见，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详见附件：服务内容及服务邀请应答表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详见附件：报价表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详见附件：供应商应提交的相关资格证明材料.docx</w:t>
      </w:r>
    </w:p>
    <w:p>
      <w:pPr>
        <w:pStyle w:val="null3"/>
        <w:ind w:firstLine="960"/>
      </w:pPr>
      <w:r>
        <w:rPr>
          <w:rFonts w:ascii="仿宋_GB2312" w:hAnsi="仿宋_GB2312" w:cs="仿宋_GB2312" w:eastAsia="仿宋_GB2312"/>
        </w:rPr>
        <w:t>详见附件：服务方案.docx</w:t>
      </w:r>
    </w:p>
    <w:p>
      <w:pPr>
        <w:pStyle w:val="null3"/>
        <w:ind w:firstLine="960"/>
      </w:pPr>
      <w:r>
        <w:rPr>
          <w:rFonts w:ascii="仿宋_GB2312" w:hAnsi="仿宋_GB2312" w:cs="仿宋_GB2312" w:eastAsia="仿宋_GB2312"/>
        </w:rPr>
        <w:t>详见附件：磋商报价表及分项报价表.docx</w:t>
      </w:r>
    </w:p>
    <w:p>
      <w:pPr>
        <w:pStyle w:val="null3"/>
        <w:ind w:firstLine="960"/>
      </w:pPr>
      <w:r>
        <w:rPr>
          <w:rFonts w:ascii="仿宋_GB2312" w:hAnsi="仿宋_GB2312" w:cs="仿宋_GB2312" w:eastAsia="仿宋_GB2312"/>
        </w:rPr>
        <w:t>详见附件：业绩一览表.docx</w:t>
      </w:r>
    </w:p>
    <w:p>
      <w:pPr>
        <w:pStyle w:val="null3"/>
        <w:ind w:firstLine="960"/>
      </w:pPr>
      <w:r>
        <w:rPr>
          <w:rFonts w:ascii="仿宋_GB2312" w:hAnsi="仿宋_GB2312" w:cs="仿宋_GB2312" w:eastAsia="仿宋_GB2312"/>
        </w:rPr>
        <w:t>详见附件：政府采购供应商拒绝政府采购领域商业贿赂承诺书.docx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详见附件：拟签订的合同文本.docx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