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0414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根据《中华人民共和国</w:t>
      </w:r>
      <w:r>
        <w:rPr>
          <w:rFonts w:hint="eastAsia" w:ascii="宋体" w:hAnsi="宋体" w:eastAsia="宋体" w:cs="宋体"/>
          <w:color w:val="auto"/>
          <w:sz w:val="20"/>
          <w:szCs w:val="20"/>
          <w:lang w:val="en-US" w:eastAsia="zh-CN"/>
        </w:rPr>
        <w:t>民法典</w:t>
      </w:r>
      <w:r>
        <w:rPr>
          <w:rFonts w:hint="eastAsia" w:ascii="宋体" w:hAnsi="宋体" w:eastAsia="宋体" w:cs="宋体"/>
          <w:color w:val="auto"/>
          <w:sz w:val="20"/>
          <w:szCs w:val="20"/>
        </w:rPr>
        <w:t>》及有关法律规定，遵循平等、自愿、公平和诚实信用的原则</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（甲方</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rPr>
        <w:t>）与（乙方</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rPr>
        <w:t>）就</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u w:val="single"/>
        </w:rPr>
        <w:t>项目</w:t>
      </w:r>
      <w:r>
        <w:rPr>
          <w:rFonts w:hint="eastAsia" w:ascii="宋体" w:hAnsi="宋体" w:eastAsia="宋体" w:cs="宋体"/>
          <w:color w:val="auto"/>
          <w:sz w:val="20"/>
          <w:szCs w:val="20"/>
        </w:rPr>
        <w:t>（招标编号：</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rPr>
        <w:t>）经双方协商达成如下合同条款：</w:t>
      </w:r>
    </w:p>
    <w:p w14:paraId="1CE19A96">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rPr>
      </w:pPr>
      <w:r>
        <w:rPr>
          <w:rFonts w:hint="eastAsia" w:ascii="宋体" w:hAnsi="宋体" w:eastAsia="宋体" w:cs="宋体"/>
          <w:b/>
          <w:color w:val="auto"/>
          <w:sz w:val="20"/>
          <w:szCs w:val="20"/>
        </w:rPr>
        <w:t>一、合同内容</w:t>
      </w:r>
    </w:p>
    <w:p w14:paraId="156D9E7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乙方按本合同中确定的</w:t>
      </w:r>
      <w:r>
        <w:rPr>
          <w:rFonts w:hint="eastAsia" w:ascii="宋体" w:hAnsi="宋体" w:eastAsia="宋体" w:cs="宋体"/>
          <w:color w:val="auto"/>
          <w:sz w:val="20"/>
          <w:szCs w:val="20"/>
          <w:lang w:eastAsia="zh-CN"/>
        </w:rPr>
        <w:t>货物</w:t>
      </w:r>
      <w:r>
        <w:rPr>
          <w:rFonts w:hint="eastAsia" w:ascii="宋体" w:hAnsi="宋体" w:eastAsia="宋体" w:cs="宋体"/>
          <w:color w:val="auto"/>
          <w:sz w:val="20"/>
          <w:szCs w:val="20"/>
        </w:rPr>
        <w:t>名称、规格、产地、数量及配套内容进行供货；乙方按时将货物运送到甲方指定的地点，</w:t>
      </w:r>
      <w:r>
        <w:rPr>
          <w:rFonts w:hint="eastAsia" w:ascii="宋体" w:hAnsi="宋体" w:eastAsia="宋体" w:cs="宋体"/>
          <w:color w:val="auto"/>
          <w:sz w:val="20"/>
          <w:szCs w:val="20"/>
          <w:lang w:val="en-US" w:eastAsia="zh-CN"/>
        </w:rPr>
        <w:t>并</w:t>
      </w:r>
      <w:r>
        <w:rPr>
          <w:rFonts w:hint="eastAsia" w:ascii="宋体" w:hAnsi="宋体" w:eastAsia="宋体" w:cs="宋体"/>
          <w:color w:val="auto"/>
          <w:sz w:val="20"/>
          <w:szCs w:val="20"/>
        </w:rPr>
        <w:t>做好售后服务工作。甲方在乙方完成合同明确规定的责任和义务后，按合同要求付给乙方相应的货款。</w:t>
      </w:r>
    </w:p>
    <w:p w14:paraId="3185F21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1、购置清单</w:t>
      </w:r>
    </w:p>
    <w:tbl>
      <w:tblPr>
        <w:tblStyle w:val="6"/>
        <w:tblW w:w="4996"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19"/>
        <w:gridCol w:w="1567"/>
        <w:gridCol w:w="1462"/>
        <w:gridCol w:w="821"/>
        <w:gridCol w:w="714"/>
        <w:gridCol w:w="1116"/>
        <w:gridCol w:w="1116"/>
      </w:tblGrid>
      <w:tr w14:paraId="5A6D53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10" w:type="pct"/>
            <w:tcBorders>
              <w:top w:val="single" w:color="auto" w:sz="4" w:space="0"/>
              <w:left w:val="single" w:color="auto" w:sz="4" w:space="0"/>
              <w:bottom w:val="single" w:color="auto" w:sz="4" w:space="0"/>
              <w:right w:val="single" w:color="auto" w:sz="4" w:space="0"/>
            </w:tcBorders>
            <w:noWrap w:val="0"/>
            <w:vAlign w:val="center"/>
          </w:tcPr>
          <w:p w14:paraId="04383D6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货物</w:t>
            </w:r>
            <w:r>
              <w:rPr>
                <w:rFonts w:hint="eastAsia" w:ascii="宋体" w:hAnsi="宋体" w:eastAsia="宋体" w:cs="宋体"/>
                <w:color w:val="auto"/>
                <w:sz w:val="20"/>
                <w:szCs w:val="20"/>
              </w:rPr>
              <w:t>名称</w:t>
            </w:r>
          </w:p>
        </w:tc>
        <w:tc>
          <w:tcPr>
            <w:tcW w:w="920" w:type="pct"/>
            <w:tcBorders>
              <w:top w:val="single" w:color="auto" w:sz="4" w:space="0"/>
              <w:left w:val="single" w:color="auto" w:sz="4" w:space="0"/>
              <w:bottom w:val="single" w:color="auto" w:sz="4" w:space="0"/>
              <w:right w:val="single" w:color="auto" w:sz="4" w:space="0"/>
            </w:tcBorders>
            <w:noWrap w:val="0"/>
            <w:vAlign w:val="center"/>
          </w:tcPr>
          <w:p w14:paraId="39CFD56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规格</w:t>
            </w:r>
          </w:p>
        </w:tc>
        <w:tc>
          <w:tcPr>
            <w:tcW w:w="858" w:type="pct"/>
            <w:tcBorders>
              <w:top w:val="single" w:color="auto" w:sz="4" w:space="0"/>
              <w:left w:val="single" w:color="auto" w:sz="4" w:space="0"/>
              <w:bottom w:val="single" w:color="auto" w:sz="4" w:space="0"/>
              <w:right w:val="single" w:color="auto" w:sz="4" w:space="0"/>
            </w:tcBorders>
            <w:noWrap w:val="0"/>
            <w:vAlign w:val="center"/>
          </w:tcPr>
          <w:p w14:paraId="521CF5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生产商、产地</w:t>
            </w:r>
          </w:p>
        </w:tc>
        <w:tc>
          <w:tcPr>
            <w:tcW w:w="482" w:type="pct"/>
            <w:tcBorders>
              <w:top w:val="single" w:color="auto" w:sz="4" w:space="0"/>
              <w:left w:val="single" w:color="auto" w:sz="4" w:space="0"/>
              <w:bottom w:val="single" w:color="auto" w:sz="4" w:space="0"/>
              <w:right w:val="single" w:color="auto" w:sz="4" w:space="0"/>
            </w:tcBorders>
            <w:noWrap w:val="0"/>
            <w:vAlign w:val="center"/>
          </w:tcPr>
          <w:p w14:paraId="08615E5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C30DFA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单位</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688A2DD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0"/>
                <w:szCs w:val="20"/>
                <w:lang w:eastAsia="zh-CN"/>
              </w:rPr>
            </w:pPr>
            <w:r>
              <w:rPr>
                <w:rFonts w:hint="eastAsia" w:ascii="宋体" w:hAnsi="宋体" w:eastAsia="宋体" w:cs="宋体"/>
                <w:color w:val="auto"/>
                <w:sz w:val="20"/>
                <w:szCs w:val="20"/>
              </w:rPr>
              <w:t>单价</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元</w:t>
            </w:r>
            <w:r>
              <w:rPr>
                <w:rFonts w:hint="eastAsia" w:ascii="宋体" w:hAnsi="宋体" w:eastAsia="宋体" w:cs="宋体"/>
                <w:color w:val="auto"/>
                <w:sz w:val="20"/>
                <w:szCs w:val="20"/>
                <w:lang w:eastAsia="zh-CN"/>
              </w:rPr>
              <w:t>）</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58C43EE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总价</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元</w:t>
            </w:r>
            <w:r>
              <w:rPr>
                <w:rFonts w:hint="eastAsia" w:ascii="宋体" w:hAnsi="宋体" w:eastAsia="宋体" w:cs="宋体"/>
                <w:color w:val="auto"/>
                <w:sz w:val="20"/>
                <w:szCs w:val="20"/>
                <w:lang w:eastAsia="zh-CN"/>
              </w:rPr>
              <w:t>）</w:t>
            </w:r>
          </w:p>
        </w:tc>
      </w:tr>
      <w:tr w14:paraId="32EF3D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10" w:type="pct"/>
            <w:tcBorders>
              <w:top w:val="single" w:color="auto" w:sz="4" w:space="0"/>
              <w:left w:val="single" w:color="auto" w:sz="4" w:space="0"/>
              <w:bottom w:val="single" w:color="auto" w:sz="4" w:space="0"/>
              <w:right w:val="single" w:color="auto" w:sz="4" w:space="0"/>
            </w:tcBorders>
            <w:noWrap w:val="0"/>
            <w:vAlign w:val="top"/>
          </w:tcPr>
          <w:p w14:paraId="2C9C61B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p>
        </w:tc>
        <w:tc>
          <w:tcPr>
            <w:tcW w:w="920" w:type="pct"/>
            <w:tcBorders>
              <w:top w:val="single" w:color="auto" w:sz="4" w:space="0"/>
              <w:left w:val="single" w:color="auto" w:sz="4" w:space="0"/>
              <w:bottom w:val="single" w:color="auto" w:sz="4" w:space="0"/>
              <w:right w:val="single" w:color="auto" w:sz="4" w:space="0"/>
            </w:tcBorders>
            <w:noWrap w:val="0"/>
            <w:vAlign w:val="top"/>
          </w:tcPr>
          <w:p w14:paraId="1F8E8DF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p>
        </w:tc>
        <w:tc>
          <w:tcPr>
            <w:tcW w:w="858" w:type="pct"/>
            <w:tcBorders>
              <w:top w:val="single" w:color="auto" w:sz="4" w:space="0"/>
              <w:left w:val="single" w:color="auto" w:sz="4" w:space="0"/>
              <w:bottom w:val="single" w:color="auto" w:sz="4" w:space="0"/>
              <w:right w:val="single" w:color="auto" w:sz="4" w:space="0"/>
            </w:tcBorders>
            <w:noWrap w:val="0"/>
            <w:vAlign w:val="top"/>
          </w:tcPr>
          <w:p w14:paraId="78210FA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p>
        </w:tc>
        <w:tc>
          <w:tcPr>
            <w:tcW w:w="482" w:type="pct"/>
            <w:tcBorders>
              <w:top w:val="single" w:color="auto" w:sz="4" w:space="0"/>
              <w:left w:val="single" w:color="auto" w:sz="4" w:space="0"/>
              <w:bottom w:val="single" w:color="auto" w:sz="4" w:space="0"/>
              <w:right w:val="single" w:color="auto" w:sz="4" w:space="0"/>
            </w:tcBorders>
            <w:noWrap w:val="0"/>
            <w:vAlign w:val="top"/>
          </w:tcPr>
          <w:p w14:paraId="07D99DD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p>
        </w:tc>
        <w:tc>
          <w:tcPr>
            <w:tcW w:w="418" w:type="pct"/>
            <w:tcBorders>
              <w:top w:val="single" w:color="auto" w:sz="4" w:space="0"/>
              <w:left w:val="single" w:color="auto" w:sz="4" w:space="0"/>
              <w:bottom w:val="single" w:color="auto" w:sz="4" w:space="0"/>
              <w:right w:val="single" w:color="auto" w:sz="4" w:space="0"/>
            </w:tcBorders>
            <w:noWrap w:val="0"/>
            <w:vAlign w:val="top"/>
          </w:tcPr>
          <w:p w14:paraId="327E099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p>
        </w:tc>
        <w:tc>
          <w:tcPr>
            <w:tcW w:w="655" w:type="pct"/>
            <w:tcBorders>
              <w:top w:val="single" w:color="auto" w:sz="4" w:space="0"/>
              <w:left w:val="single" w:color="auto" w:sz="4" w:space="0"/>
              <w:bottom w:val="single" w:color="auto" w:sz="4" w:space="0"/>
              <w:right w:val="single" w:color="auto" w:sz="4" w:space="0"/>
            </w:tcBorders>
            <w:noWrap w:val="0"/>
            <w:vAlign w:val="top"/>
          </w:tcPr>
          <w:p w14:paraId="1CF4CE9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p>
        </w:tc>
        <w:tc>
          <w:tcPr>
            <w:tcW w:w="655" w:type="pct"/>
            <w:tcBorders>
              <w:top w:val="single" w:color="auto" w:sz="4" w:space="0"/>
              <w:left w:val="single" w:color="auto" w:sz="4" w:space="0"/>
              <w:bottom w:val="single" w:color="auto" w:sz="4" w:space="0"/>
              <w:right w:val="single" w:color="auto" w:sz="4" w:space="0"/>
            </w:tcBorders>
            <w:noWrap w:val="0"/>
            <w:vAlign w:val="top"/>
          </w:tcPr>
          <w:p w14:paraId="7923F1A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p>
        </w:tc>
      </w:tr>
      <w:tr w14:paraId="314AB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689" w:type="pct"/>
            <w:gridSpan w:val="5"/>
            <w:tcBorders>
              <w:top w:val="single" w:color="auto" w:sz="4" w:space="0"/>
              <w:left w:val="single" w:color="auto" w:sz="4" w:space="0"/>
              <w:bottom w:val="single" w:color="auto" w:sz="4" w:space="0"/>
              <w:right w:val="single" w:color="auto" w:sz="4" w:space="0"/>
            </w:tcBorders>
            <w:noWrap w:val="0"/>
            <w:vAlign w:val="center"/>
          </w:tcPr>
          <w:p w14:paraId="390C234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合计金额（大写）：</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6F2AC35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合计</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元</w:t>
            </w:r>
            <w:r>
              <w:rPr>
                <w:rFonts w:hint="eastAsia" w:ascii="宋体" w:hAnsi="宋体" w:eastAsia="宋体" w:cs="宋体"/>
                <w:color w:val="auto"/>
                <w:sz w:val="20"/>
                <w:szCs w:val="20"/>
                <w:lang w:eastAsia="zh-CN"/>
              </w:rPr>
              <w:t>）</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4E30C16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小写</w:t>
            </w:r>
          </w:p>
        </w:tc>
      </w:tr>
    </w:tbl>
    <w:p w14:paraId="495B6AC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2、合同总额：</w:t>
      </w:r>
      <w:r>
        <w:rPr>
          <w:rFonts w:hint="eastAsia" w:ascii="宋体" w:hAnsi="宋体" w:eastAsia="宋体" w:cs="宋体"/>
          <w:color w:val="auto"/>
          <w:sz w:val="20"/>
          <w:szCs w:val="20"/>
          <w:u w:val="single"/>
        </w:rPr>
        <w:t>　　　　</w:t>
      </w:r>
      <w:r>
        <w:rPr>
          <w:rFonts w:hint="eastAsia" w:ascii="宋体" w:hAnsi="宋体" w:eastAsia="宋体" w:cs="宋体"/>
          <w:color w:val="auto"/>
          <w:sz w:val="20"/>
          <w:szCs w:val="20"/>
        </w:rPr>
        <w:t>元，是指</w:t>
      </w:r>
      <w:r>
        <w:rPr>
          <w:rFonts w:hint="eastAsia" w:ascii="宋体" w:hAnsi="宋体" w:eastAsia="宋体" w:cs="宋体"/>
          <w:color w:val="auto"/>
          <w:sz w:val="20"/>
          <w:szCs w:val="20"/>
          <w:lang w:eastAsia="zh-CN"/>
        </w:rPr>
        <w:t>货物</w:t>
      </w:r>
      <w:r>
        <w:rPr>
          <w:rFonts w:hint="eastAsia" w:ascii="宋体" w:hAnsi="宋体" w:eastAsia="宋体" w:cs="宋体"/>
          <w:color w:val="auto"/>
          <w:sz w:val="20"/>
          <w:szCs w:val="20"/>
        </w:rPr>
        <w:t>到达</w:t>
      </w:r>
      <w:r>
        <w:rPr>
          <w:rFonts w:hint="eastAsia" w:ascii="宋体" w:hAnsi="宋体" w:eastAsia="宋体" w:cs="宋体"/>
          <w:color w:val="auto"/>
          <w:sz w:val="20"/>
          <w:szCs w:val="20"/>
          <w:lang w:eastAsia="zh-CN"/>
        </w:rPr>
        <w:t>甲方</w:t>
      </w:r>
      <w:r>
        <w:rPr>
          <w:rFonts w:hint="eastAsia" w:ascii="宋体" w:hAnsi="宋体" w:eastAsia="宋体" w:cs="宋体"/>
          <w:color w:val="auto"/>
          <w:sz w:val="20"/>
          <w:szCs w:val="20"/>
        </w:rPr>
        <w:t>指定地点、完成验收后的价格，其中已包含</w:t>
      </w:r>
      <w:r>
        <w:rPr>
          <w:rFonts w:hint="eastAsia" w:ascii="宋体" w:hAnsi="宋体" w:eastAsia="宋体" w:cs="宋体"/>
          <w:color w:val="auto"/>
          <w:sz w:val="20"/>
          <w:szCs w:val="20"/>
          <w:lang w:eastAsia="zh-CN"/>
        </w:rPr>
        <w:t>货物</w:t>
      </w:r>
      <w:r>
        <w:rPr>
          <w:rFonts w:hint="eastAsia" w:ascii="宋体" w:hAnsi="宋体" w:eastAsia="宋体" w:cs="宋体"/>
          <w:color w:val="auto"/>
          <w:sz w:val="20"/>
          <w:szCs w:val="20"/>
        </w:rPr>
        <w:t>价格、包装运杂费（含保险）及相关费用等。</w:t>
      </w:r>
    </w:p>
    <w:p w14:paraId="40903D5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3、合同总额为一次性包死价格，不受市场价格的变化和影响，在合同不发生变更时作为付款结算的依据。</w:t>
      </w:r>
    </w:p>
    <w:p w14:paraId="0D64DE4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b/>
          <w:color w:val="auto"/>
          <w:sz w:val="20"/>
          <w:szCs w:val="20"/>
        </w:rPr>
      </w:pPr>
      <w:r>
        <w:rPr>
          <w:rFonts w:hint="eastAsia" w:ascii="宋体" w:hAnsi="宋体" w:eastAsia="宋体" w:cs="宋体"/>
          <w:color w:val="auto"/>
          <w:sz w:val="20"/>
          <w:szCs w:val="20"/>
        </w:rPr>
        <w:t>二、</w:t>
      </w:r>
      <w:r>
        <w:rPr>
          <w:rFonts w:hint="eastAsia" w:ascii="宋体" w:hAnsi="宋体" w:eastAsia="宋体" w:cs="宋体"/>
          <w:b/>
          <w:color w:val="auto"/>
          <w:sz w:val="20"/>
          <w:szCs w:val="20"/>
        </w:rPr>
        <w:t>包装运输要求</w:t>
      </w:r>
      <w:bookmarkStart w:id="0" w:name="_GoBack"/>
      <w:bookmarkEnd w:id="0"/>
    </w:p>
    <w:p w14:paraId="27E3EAB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lang w:eastAsia="zh-CN"/>
        </w:rPr>
      </w:pPr>
      <w:r>
        <w:rPr>
          <w:rFonts w:hint="eastAsia" w:ascii="宋体" w:hAnsi="宋体" w:eastAsia="宋体" w:cs="宋体"/>
          <w:color w:val="auto"/>
          <w:sz w:val="20"/>
          <w:szCs w:val="20"/>
          <w:shd w:val="clear" w:color="auto" w:fill="auto"/>
          <w:lang w:val="en-US" w:eastAsia="zh-Hans"/>
        </w:rPr>
        <w:t>1、</w:t>
      </w:r>
      <w:r>
        <w:rPr>
          <w:rFonts w:hint="eastAsia" w:ascii="宋体" w:hAnsi="宋体" w:eastAsia="宋体" w:cs="宋体"/>
          <w:color w:val="auto"/>
          <w:sz w:val="20"/>
          <w:szCs w:val="20"/>
          <w:shd w:val="clear" w:color="auto" w:fill="auto"/>
          <w:lang w:eastAsia="zh-CN"/>
        </w:rPr>
        <w:t>货物的运输方式由</w:t>
      </w:r>
      <w:r>
        <w:rPr>
          <w:rFonts w:hint="eastAsia" w:ascii="宋体" w:hAnsi="宋体" w:eastAsia="宋体" w:cs="宋体"/>
          <w:color w:val="auto"/>
          <w:sz w:val="20"/>
          <w:szCs w:val="20"/>
          <w:shd w:val="clear" w:color="auto" w:fill="auto"/>
          <w:lang w:val="en-US" w:eastAsia="zh-CN"/>
        </w:rPr>
        <w:t>供应商</w:t>
      </w:r>
      <w:r>
        <w:rPr>
          <w:rFonts w:hint="eastAsia" w:ascii="宋体" w:hAnsi="宋体" w:eastAsia="宋体" w:cs="宋体"/>
          <w:color w:val="auto"/>
          <w:sz w:val="20"/>
          <w:szCs w:val="20"/>
          <w:shd w:val="clear" w:color="auto" w:fill="auto"/>
          <w:lang w:eastAsia="zh-CN"/>
        </w:rPr>
        <w:t>自行选择，但包装必须符合国家标准或行业标准，满足航空、铁路或公路运输以及货物装卸要求，保证使用人收到的是无任何损伤的货物。否则，因此造成的损失由</w:t>
      </w:r>
      <w:r>
        <w:rPr>
          <w:rFonts w:hint="eastAsia" w:ascii="宋体" w:hAnsi="宋体" w:eastAsia="宋体" w:cs="宋体"/>
          <w:color w:val="auto"/>
          <w:sz w:val="20"/>
          <w:szCs w:val="20"/>
          <w:shd w:val="clear" w:color="auto" w:fill="auto"/>
          <w:lang w:val="en-US" w:eastAsia="zh-CN"/>
        </w:rPr>
        <w:t>供应商</w:t>
      </w:r>
      <w:r>
        <w:rPr>
          <w:rFonts w:hint="eastAsia" w:ascii="宋体" w:hAnsi="宋体" w:eastAsia="宋体" w:cs="宋体"/>
          <w:color w:val="auto"/>
          <w:sz w:val="20"/>
          <w:szCs w:val="20"/>
          <w:shd w:val="clear" w:color="auto" w:fill="auto"/>
          <w:lang w:eastAsia="zh-CN"/>
        </w:rPr>
        <w:t>自行承担；</w:t>
      </w:r>
    </w:p>
    <w:p w14:paraId="02A7D5F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lang w:eastAsia="zh-CN"/>
        </w:rPr>
      </w:pPr>
      <w:r>
        <w:rPr>
          <w:rFonts w:hint="eastAsia" w:ascii="宋体" w:hAnsi="宋体" w:eastAsia="宋体" w:cs="宋体"/>
          <w:color w:val="auto"/>
          <w:sz w:val="20"/>
          <w:szCs w:val="20"/>
          <w:shd w:val="clear" w:color="auto" w:fill="auto"/>
          <w:lang w:val="en-US" w:eastAsia="zh-CN"/>
        </w:rPr>
        <w:t>2、</w:t>
      </w:r>
      <w:r>
        <w:rPr>
          <w:rFonts w:hint="eastAsia" w:ascii="宋体" w:hAnsi="宋体" w:eastAsia="宋体" w:cs="宋体"/>
          <w:color w:val="auto"/>
          <w:sz w:val="20"/>
          <w:szCs w:val="20"/>
          <w:shd w:val="clear" w:color="auto" w:fill="auto"/>
          <w:lang w:eastAsia="zh-CN"/>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B4D2508">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shd w:val="clear" w:color="auto" w:fill="auto"/>
        </w:rPr>
      </w:pPr>
      <w:r>
        <w:rPr>
          <w:rFonts w:hint="eastAsia" w:ascii="宋体" w:hAnsi="宋体" w:eastAsia="宋体" w:cs="宋体"/>
          <w:b/>
          <w:color w:val="auto"/>
          <w:sz w:val="20"/>
          <w:szCs w:val="20"/>
          <w:shd w:val="clear" w:color="auto" w:fill="auto"/>
        </w:rPr>
        <w:t>三、交货时间及交货地点</w:t>
      </w:r>
    </w:p>
    <w:p w14:paraId="4E72C3C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b w:val="0"/>
          <w:bCs/>
          <w:color w:val="auto"/>
          <w:sz w:val="20"/>
          <w:szCs w:val="20"/>
          <w:shd w:val="clear" w:color="auto" w:fill="auto"/>
        </w:rPr>
      </w:pPr>
      <w:r>
        <w:rPr>
          <w:rFonts w:hint="eastAsia" w:ascii="宋体" w:hAnsi="宋体" w:eastAsia="宋体" w:cs="宋体"/>
          <w:b w:val="0"/>
          <w:bCs/>
          <w:color w:val="auto"/>
          <w:sz w:val="20"/>
          <w:szCs w:val="20"/>
          <w:shd w:val="clear" w:color="auto" w:fill="auto"/>
          <w:lang w:val="en-US" w:eastAsia="zh-CN"/>
        </w:rPr>
        <w:t>1</w:t>
      </w:r>
      <w:r>
        <w:rPr>
          <w:rFonts w:hint="eastAsia" w:ascii="宋体" w:hAnsi="宋体" w:eastAsia="宋体" w:cs="宋体"/>
          <w:b w:val="0"/>
          <w:bCs/>
          <w:color w:val="auto"/>
          <w:sz w:val="20"/>
          <w:szCs w:val="20"/>
          <w:shd w:val="clear" w:color="auto" w:fill="auto"/>
        </w:rPr>
        <w:t>、交货时间：按照采购人要求</w:t>
      </w:r>
    </w:p>
    <w:p w14:paraId="641A701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b w:val="0"/>
          <w:bCs/>
          <w:color w:val="auto"/>
          <w:sz w:val="20"/>
          <w:szCs w:val="20"/>
          <w:shd w:val="clear" w:color="auto" w:fill="auto"/>
          <w:lang w:val="en-US" w:eastAsia="zh-CN"/>
        </w:rPr>
      </w:pPr>
      <w:r>
        <w:rPr>
          <w:rFonts w:hint="eastAsia" w:ascii="宋体" w:hAnsi="宋体" w:eastAsia="宋体" w:cs="宋体"/>
          <w:b w:val="0"/>
          <w:bCs/>
          <w:color w:val="auto"/>
          <w:sz w:val="20"/>
          <w:szCs w:val="20"/>
          <w:shd w:val="clear" w:color="auto" w:fill="auto"/>
          <w:lang w:val="en-US" w:eastAsia="zh-CN"/>
        </w:rPr>
        <w:t>2</w:t>
      </w:r>
      <w:r>
        <w:rPr>
          <w:rFonts w:hint="eastAsia" w:ascii="宋体" w:hAnsi="宋体" w:eastAsia="宋体" w:cs="宋体"/>
          <w:b w:val="0"/>
          <w:bCs/>
          <w:color w:val="auto"/>
          <w:sz w:val="20"/>
          <w:szCs w:val="20"/>
          <w:shd w:val="clear" w:color="auto" w:fill="auto"/>
        </w:rPr>
        <w:t>、交货地点：按照采购人要求</w:t>
      </w:r>
    </w:p>
    <w:p w14:paraId="1CBFA1FD">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shd w:val="clear" w:color="auto" w:fill="auto"/>
        </w:rPr>
      </w:pPr>
      <w:r>
        <w:rPr>
          <w:rFonts w:hint="eastAsia" w:ascii="宋体" w:hAnsi="宋体" w:eastAsia="宋体" w:cs="宋体"/>
          <w:b/>
          <w:color w:val="auto"/>
          <w:sz w:val="20"/>
          <w:szCs w:val="20"/>
          <w:shd w:val="clear" w:color="auto" w:fill="auto"/>
        </w:rPr>
        <w:t>四、产品质量保证</w:t>
      </w:r>
    </w:p>
    <w:p w14:paraId="5B1AB30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1、乙方提供的</w:t>
      </w:r>
      <w:r>
        <w:rPr>
          <w:rFonts w:hint="eastAsia" w:ascii="宋体" w:hAnsi="宋体" w:eastAsia="宋体" w:cs="宋体"/>
          <w:color w:val="auto"/>
          <w:sz w:val="20"/>
          <w:szCs w:val="20"/>
          <w:shd w:val="clear" w:color="auto" w:fill="auto"/>
          <w:lang w:eastAsia="zh-CN"/>
        </w:rPr>
        <w:t>货物</w:t>
      </w:r>
      <w:r>
        <w:rPr>
          <w:rFonts w:hint="eastAsia" w:ascii="宋体" w:hAnsi="宋体" w:eastAsia="宋体" w:cs="宋体"/>
          <w:color w:val="auto"/>
          <w:sz w:val="20"/>
          <w:szCs w:val="20"/>
          <w:shd w:val="clear" w:color="auto" w:fill="auto"/>
        </w:rPr>
        <w:t>及配套产品，必须是合同规定厂家</w:t>
      </w:r>
      <w:r>
        <w:rPr>
          <w:rFonts w:hint="eastAsia" w:ascii="宋体" w:hAnsi="宋体" w:eastAsia="宋体" w:cs="宋体"/>
          <w:color w:val="auto"/>
          <w:sz w:val="20"/>
          <w:szCs w:val="20"/>
          <w:shd w:val="clear" w:color="auto" w:fill="auto"/>
          <w:lang w:val="en-US" w:eastAsia="zh-CN"/>
        </w:rPr>
        <w:t>生产</w:t>
      </w:r>
      <w:r>
        <w:rPr>
          <w:rFonts w:hint="eastAsia" w:ascii="宋体" w:hAnsi="宋体" w:eastAsia="宋体" w:cs="宋体"/>
          <w:color w:val="auto"/>
          <w:sz w:val="20"/>
          <w:szCs w:val="20"/>
          <w:shd w:val="clear" w:color="auto" w:fill="auto"/>
        </w:rPr>
        <w:t>的、合格、全新、未曾使用的、且经过国家质检部门检验，并颁发了产品准销证的产品。</w:t>
      </w:r>
    </w:p>
    <w:p w14:paraId="116C331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2、乙方提供的</w:t>
      </w:r>
      <w:r>
        <w:rPr>
          <w:rFonts w:hint="eastAsia" w:ascii="宋体" w:hAnsi="宋体" w:eastAsia="宋体" w:cs="宋体"/>
          <w:color w:val="auto"/>
          <w:sz w:val="20"/>
          <w:szCs w:val="20"/>
          <w:shd w:val="clear" w:color="auto" w:fill="auto"/>
          <w:lang w:eastAsia="zh-CN"/>
        </w:rPr>
        <w:t>货物</w:t>
      </w:r>
      <w:r>
        <w:rPr>
          <w:rFonts w:hint="eastAsia" w:ascii="宋体" w:hAnsi="宋体" w:eastAsia="宋体" w:cs="宋体"/>
          <w:color w:val="auto"/>
          <w:sz w:val="20"/>
          <w:szCs w:val="20"/>
          <w:shd w:val="clear" w:color="auto" w:fill="auto"/>
        </w:rPr>
        <w:t>及配套产品必须等同于或优于合同要求，并能按国家标准或行业标准供应、检测，确保产品技术指标满足使用要求。</w:t>
      </w:r>
    </w:p>
    <w:p w14:paraId="05B0A02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3、供货时剩余质保期≥</w:t>
      </w:r>
      <w:r>
        <w:rPr>
          <w:rFonts w:hint="eastAsia" w:ascii="宋体" w:hAnsi="宋体" w:eastAsia="宋体" w:cs="宋体"/>
          <w:color w:val="auto"/>
          <w:sz w:val="20"/>
          <w:szCs w:val="20"/>
          <w:shd w:val="clear" w:color="auto" w:fill="auto"/>
          <w:lang w:val="en-US" w:eastAsia="zh-CN"/>
        </w:rPr>
        <w:t>6个月</w:t>
      </w:r>
      <w:r>
        <w:rPr>
          <w:rFonts w:hint="eastAsia" w:ascii="宋体" w:hAnsi="宋体" w:eastAsia="宋体" w:cs="宋体"/>
          <w:color w:val="auto"/>
          <w:sz w:val="20"/>
          <w:szCs w:val="20"/>
          <w:shd w:val="clear" w:color="auto" w:fill="auto"/>
        </w:rPr>
        <w:t>。</w:t>
      </w:r>
    </w:p>
    <w:p w14:paraId="20B6AF06">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shd w:val="clear" w:color="auto" w:fill="auto"/>
          <w:lang w:val="en-US" w:eastAsia="zh-CN"/>
        </w:rPr>
      </w:pPr>
      <w:r>
        <w:rPr>
          <w:rFonts w:hint="eastAsia" w:ascii="宋体" w:hAnsi="宋体" w:eastAsia="宋体" w:cs="宋体"/>
          <w:b/>
          <w:color w:val="auto"/>
          <w:sz w:val="20"/>
          <w:szCs w:val="20"/>
          <w:shd w:val="clear" w:color="auto" w:fill="auto"/>
        </w:rPr>
        <w:t>五、</w:t>
      </w:r>
      <w:r>
        <w:rPr>
          <w:rFonts w:hint="eastAsia" w:ascii="宋体" w:hAnsi="宋体" w:eastAsia="宋体" w:cs="宋体"/>
          <w:b/>
          <w:color w:val="auto"/>
          <w:sz w:val="20"/>
          <w:szCs w:val="20"/>
          <w:shd w:val="clear" w:color="auto" w:fill="auto"/>
          <w:lang w:val="en-US" w:eastAsia="zh-CN"/>
        </w:rPr>
        <w:t>售后</w:t>
      </w:r>
      <w:r>
        <w:rPr>
          <w:rFonts w:hint="eastAsia" w:ascii="宋体" w:hAnsi="宋体" w:eastAsia="宋体" w:cs="宋体"/>
          <w:b/>
          <w:color w:val="auto"/>
          <w:sz w:val="20"/>
          <w:szCs w:val="20"/>
          <w:shd w:val="clear" w:color="auto" w:fill="auto"/>
        </w:rPr>
        <w:t>服务承诺</w:t>
      </w:r>
      <w:r>
        <w:rPr>
          <w:rFonts w:hint="eastAsia" w:ascii="宋体" w:hAnsi="宋体" w:eastAsia="宋体" w:cs="宋体"/>
          <w:b/>
          <w:color w:val="auto"/>
          <w:sz w:val="20"/>
          <w:szCs w:val="20"/>
          <w:shd w:val="clear" w:color="auto" w:fill="auto"/>
          <w:lang w:val="en-US" w:eastAsia="zh-CN"/>
        </w:rPr>
        <w:t>及响应时间</w:t>
      </w:r>
    </w:p>
    <w:p w14:paraId="784293F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b w:val="0"/>
          <w:bCs/>
          <w:color w:val="auto"/>
          <w:sz w:val="20"/>
          <w:szCs w:val="20"/>
          <w:shd w:val="clear" w:color="auto" w:fill="auto"/>
        </w:rPr>
      </w:pPr>
      <w:r>
        <w:rPr>
          <w:rFonts w:hint="eastAsia" w:ascii="宋体" w:hAnsi="宋体" w:eastAsia="宋体" w:cs="宋体"/>
          <w:b w:val="0"/>
          <w:bCs/>
          <w:color w:val="auto"/>
          <w:sz w:val="20"/>
          <w:szCs w:val="20"/>
          <w:shd w:val="clear" w:color="auto" w:fill="auto"/>
        </w:rPr>
        <w:t>即时响应（包括电话响应）</w:t>
      </w:r>
      <w:r>
        <w:rPr>
          <w:rFonts w:hint="eastAsia" w:ascii="宋体" w:hAnsi="宋体" w:eastAsia="宋体" w:cs="宋体"/>
          <w:b w:val="0"/>
          <w:bCs/>
          <w:color w:val="auto"/>
          <w:sz w:val="20"/>
          <w:szCs w:val="20"/>
          <w:shd w:val="clear" w:color="auto" w:fill="auto"/>
          <w:lang w:eastAsia="zh-CN"/>
        </w:rPr>
        <w:t>，</w:t>
      </w:r>
      <w:r>
        <w:rPr>
          <w:rFonts w:hint="eastAsia" w:ascii="宋体" w:hAnsi="宋体" w:eastAsia="宋体" w:cs="宋体"/>
          <w:b w:val="0"/>
          <w:bCs/>
          <w:color w:val="auto"/>
          <w:sz w:val="20"/>
          <w:szCs w:val="20"/>
          <w:shd w:val="clear" w:color="auto" w:fill="auto"/>
        </w:rPr>
        <w:t>电话响应无法解决时，</w:t>
      </w:r>
      <w:r>
        <w:rPr>
          <w:rFonts w:hint="eastAsia" w:ascii="宋体" w:hAnsi="宋体" w:eastAsia="宋体" w:cs="宋体"/>
          <w:b w:val="0"/>
          <w:bCs/>
          <w:color w:val="auto"/>
          <w:sz w:val="20"/>
          <w:szCs w:val="20"/>
          <w:shd w:val="clear" w:color="auto" w:fill="auto"/>
          <w:lang w:val="en-US" w:eastAsia="zh-CN"/>
        </w:rPr>
        <w:t>2</w:t>
      </w:r>
      <w:r>
        <w:rPr>
          <w:rFonts w:hint="eastAsia" w:ascii="宋体" w:hAnsi="宋体" w:eastAsia="宋体" w:cs="宋体"/>
          <w:b w:val="0"/>
          <w:bCs/>
          <w:color w:val="auto"/>
          <w:sz w:val="20"/>
          <w:szCs w:val="20"/>
          <w:shd w:val="clear" w:color="auto" w:fill="auto"/>
        </w:rPr>
        <w:t>小时内到达现场</w:t>
      </w:r>
      <w:r>
        <w:rPr>
          <w:rFonts w:hint="eastAsia" w:ascii="宋体" w:hAnsi="宋体" w:eastAsia="宋体" w:cs="宋体"/>
          <w:b w:val="0"/>
          <w:bCs/>
          <w:color w:val="auto"/>
          <w:sz w:val="20"/>
          <w:szCs w:val="20"/>
          <w:shd w:val="clear" w:color="auto" w:fill="auto"/>
          <w:lang w:val="en-US" w:eastAsia="zh-CN"/>
        </w:rPr>
        <w:t>并</w:t>
      </w:r>
      <w:r>
        <w:rPr>
          <w:rFonts w:hint="eastAsia" w:ascii="宋体" w:hAnsi="宋体" w:eastAsia="宋体" w:cs="宋体"/>
          <w:b w:val="0"/>
          <w:bCs/>
          <w:color w:val="auto"/>
          <w:sz w:val="20"/>
          <w:szCs w:val="20"/>
          <w:shd w:val="clear" w:color="auto" w:fill="auto"/>
        </w:rPr>
        <w:t>提供相应解决方案</w:t>
      </w:r>
    </w:p>
    <w:p w14:paraId="5ED47755">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shd w:val="clear" w:color="auto" w:fill="auto"/>
        </w:rPr>
      </w:pPr>
      <w:r>
        <w:rPr>
          <w:rFonts w:hint="eastAsia" w:ascii="宋体" w:hAnsi="宋体" w:eastAsia="宋体" w:cs="宋体"/>
          <w:b/>
          <w:color w:val="auto"/>
          <w:sz w:val="20"/>
          <w:szCs w:val="20"/>
          <w:shd w:val="clear" w:color="auto" w:fill="auto"/>
        </w:rPr>
        <w:t>六、验收方法及标准</w:t>
      </w:r>
    </w:p>
    <w:p w14:paraId="297A970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b w:val="0"/>
          <w:bCs/>
          <w:color w:val="auto"/>
          <w:sz w:val="20"/>
          <w:szCs w:val="20"/>
          <w:shd w:val="clear" w:color="auto" w:fill="auto"/>
        </w:rPr>
      </w:pPr>
      <w:r>
        <w:rPr>
          <w:rFonts w:hint="eastAsia" w:ascii="宋体" w:hAnsi="宋体" w:eastAsia="宋体" w:cs="宋体"/>
          <w:b w:val="0"/>
          <w:bCs/>
          <w:color w:val="auto"/>
          <w:sz w:val="20"/>
          <w:szCs w:val="20"/>
          <w:shd w:val="clear" w:color="auto" w:fill="auto"/>
        </w:rPr>
        <w:t>所有产品数量、规格、技术标准及配置等全部按竞争性磋商文件、竞争性磋商响应文件及澄清函等进行验收，各项指标均应符合要求。1.在交货前，供货方应提供有关资料，包括供货方的营业执照、食品经营许可证（或销售预包装食品经营者备案表）的复印件及食品检测报告（必要时）等。 2.采购方有权对交货货品进行清点，确认货品是否符合“货品名称、数量”的要求，所有货品外包装完好，标明品名、厂名、重量、生产日期、保质期或保存期、执行标准，剩余保质期不少于6个月。 3.如果被清点的货品不能满足“货品名称、数量和质量等”的要求，采购方可以拒绝接受该货品，，直至供应商满足采购人要求，方可通过验收。</w:t>
      </w:r>
    </w:p>
    <w:p w14:paraId="6B159BD5">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shd w:val="clear" w:color="auto" w:fill="auto"/>
        </w:rPr>
      </w:pPr>
      <w:r>
        <w:rPr>
          <w:rFonts w:hint="eastAsia" w:ascii="宋体" w:hAnsi="宋体" w:eastAsia="宋体" w:cs="宋体"/>
          <w:b/>
          <w:color w:val="auto"/>
          <w:sz w:val="20"/>
          <w:szCs w:val="20"/>
          <w:shd w:val="clear" w:color="auto" w:fill="auto"/>
        </w:rPr>
        <w:t>七、合同款项支付方式</w:t>
      </w:r>
    </w:p>
    <w:p w14:paraId="52A2482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b w:val="0"/>
          <w:bCs/>
          <w:color w:val="auto"/>
          <w:sz w:val="20"/>
          <w:szCs w:val="20"/>
          <w:shd w:val="clear" w:color="auto" w:fill="auto"/>
        </w:rPr>
      </w:pPr>
      <w:r>
        <w:rPr>
          <w:rFonts w:hint="eastAsia" w:ascii="宋体" w:hAnsi="宋体" w:eastAsia="宋体" w:cs="宋体"/>
          <w:b w:val="0"/>
          <w:bCs/>
          <w:color w:val="auto"/>
          <w:sz w:val="20"/>
          <w:szCs w:val="20"/>
          <w:shd w:val="clear" w:color="auto" w:fill="auto"/>
        </w:rPr>
        <w:t>合同签订，产品到货验收合格，达到付款条件起</w:t>
      </w:r>
      <w:r>
        <w:rPr>
          <w:rFonts w:hint="eastAsia" w:ascii="宋体" w:hAnsi="宋体" w:eastAsia="宋体" w:cs="宋体"/>
          <w:b w:val="0"/>
          <w:bCs/>
          <w:color w:val="auto"/>
          <w:sz w:val="20"/>
          <w:szCs w:val="20"/>
          <w:shd w:val="clear" w:color="auto" w:fill="auto"/>
          <w:lang w:val="en-US" w:eastAsia="zh-CN"/>
        </w:rPr>
        <w:t>30</w:t>
      </w:r>
      <w:r>
        <w:rPr>
          <w:rFonts w:hint="eastAsia" w:ascii="宋体" w:hAnsi="宋体" w:eastAsia="宋体" w:cs="宋体"/>
          <w:b w:val="0"/>
          <w:bCs/>
          <w:color w:val="auto"/>
          <w:sz w:val="20"/>
          <w:szCs w:val="20"/>
          <w:shd w:val="clear" w:color="auto" w:fill="auto"/>
        </w:rPr>
        <w:t>日内，支付合同总金额的 100.00%。</w:t>
      </w:r>
    </w:p>
    <w:p w14:paraId="0F2DDA44">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shd w:val="clear" w:color="auto" w:fill="auto"/>
        </w:rPr>
      </w:pPr>
      <w:r>
        <w:rPr>
          <w:rFonts w:hint="eastAsia" w:ascii="宋体" w:hAnsi="宋体" w:eastAsia="宋体" w:cs="宋体"/>
          <w:b/>
          <w:color w:val="auto"/>
          <w:sz w:val="20"/>
          <w:szCs w:val="20"/>
          <w:shd w:val="clear" w:color="auto" w:fill="auto"/>
        </w:rPr>
        <w:t>八、违约责任</w:t>
      </w:r>
    </w:p>
    <w:p w14:paraId="2A25DBF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1、合同生效后，甲乙双方应按合同规定认真履约。合同履约责任只涉及合同甲乙双方，不考虑第三方因素。</w:t>
      </w:r>
    </w:p>
    <w:p w14:paraId="7BA58C2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2、乙方履约延误</w:t>
      </w:r>
    </w:p>
    <w:p w14:paraId="317D870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2-1、如乙方事先未征得甲方同意并得到甲方的谅解而单方面延迟执行合同，将按违约终止合同。</w:t>
      </w:r>
    </w:p>
    <w:p w14:paraId="6D9FA35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w:t>
      </w:r>
      <w:r>
        <w:rPr>
          <w:rFonts w:hint="eastAsia" w:ascii="宋体" w:hAnsi="宋体" w:eastAsia="宋体" w:cs="宋体"/>
          <w:color w:val="auto"/>
          <w:sz w:val="20"/>
          <w:szCs w:val="20"/>
          <w:shd w:val="clear" w:color="auto" w:fill="auto"/>
          <w:lang w:val="en-US" w:eastAsia="zh-CN"/>
        </w:rPr>
        <w:t>天</w:t>
      </w:r>
      <w:r>
        <w:rPr>
          <w:rFonts w:hint="eastAsia" w:ascii="宋体" w:hAnsi="宋体" w:eastAsia="宋体" w:cs="宋体"/>
          <w:color w:val="auto"/>
          <w:sz w:val="20"/>
          <w:szCs w:val="20"/>
          <w:shd w:val="clear" w:color="auto" w:fill="auto"/>
        </w:rPr>
        <w:t>的赔偿费按合同金额的百分之零点五（0.5%）计收，直至提供服务为止。误期赔偿费的最高限额为合同价格的百分之五（5%）。一旦达到误期赔偿费的最高限额，甲方可终止合同。</w:t>
      </w:r>
    </w:p>
    <w:p w14:paraId="20DCBBF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3、违约终止合同：未按合同要求提供服务或不能满足技术要求，甲方会同监督机构有权终止合同，对乙方违约行为进行追究，同时按政府采购法的有关规定进行相应的处罚。</w:t>
      </w:r>
    </w:p>
    <w:p w14:paraId="34C986C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lang w:val="en-US" w:eastAsia="zh-CN"/>
        </w:rPr>
        <w:t>4</w:t>
      </w:r>
      <w:r>
        <w:rPr>
          <w:rFonts w:hint="eastAsia" w:ascii="宋体" w:hAnsi="宋体" w:eastAsia="宋体" w:cs="宋体"/>
          <w:color w:val="auto"/>
          <w:sz w:val="20"/>
          <w:szCs w:val="20"/>
          <w:shd w:val="clear" w:color="auto" w:fill="auto"/>
        </w:rPr>
        <w:t>、</w:t>
      </w:r>
      <w:r>
        <w:rPr>
          <w:rFonts w:hint="eastAsia" w:ascii="宋体" w:hAnsi="宋体" w:eastAsia="宋体" w:cs="宋体"/>
          <w:color w:val="auto"/>
          <w:sz w:val="20"/>
          <w:szCs w:val="20"/>
          <w:shd w:val="clear" w:color="auto" w:fill="auto"/>
          <w:lang w:val="en-US" w:eastAsia="zh-CN"/>
        </w:rPr>
        <w:t>未尽事宜</w:t>
      </w:r>
      <w:r>
        <w:rPr>
          <w:rFonts w:hint="eastAsia" w:ascii="宋体" w:hAnsi="宋体" w:eastAsia="宋体" w:cs="宋体"/>
          <w:color w:val="auto"/>
          <w:sz w:val="20"/>
          <w:szCs w:val="20"/>
          <w:shd w:val="clear" w:color="auto" w:fill="auto"/>
        </w:rPr>
        <w:t>按《中华人民共和国民法典》中的相关条款执行。</w:t>
      </w:r>
    </w:p>
    <w:p w14:paraId="4676E695">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rFonts w:hint="eastAsia" w:ascii="宋体" w:hAnsi="宋体" w:eastAsia="宋体" w:cs="宋体"/>
          <w:b/>
          <w:color w:val="auto"/>
          <w:sz w:val="20"/>
          <w:szCs w:val="20"/>
          <w:shd w:val="clear" w:color="auto" w:fill="auto"/>
        </w:rPr>
      </w:pPr>
      <w:r>
        <w:rPr>
          <w:rFonts w:hint="eastAsia" w:ascii="宋体" w:hAnsi="宋体" w:eastAsia="宋体" w:cs="宋体"/>
          <w:b/>
          <w:color w:val="auto"/>
          <w:sz w:val="20"/>
          <w:szCs w:val="20"/>
          <w:shd w:val="clear" w:color="auto" w:fill="auto"/>
          <w:lang w:eastAsia="zh-CN"/>
        </w:rPr>
        <w:t>九</w:t>
      </w:r>
      <w:r>
        <w:rPr>
          <w:rFonts w:hint="eastAsia" w:ascii="宋体" w:hAnsi="宋体" w:eastAsia="宋体" w:cs="宋体"/>
          <w:b/>
          <w:color w:val="auto"/>
          <w:sz w:val="20"/>
          <w:szCs w:val="20"/>
          <w:shd w:val="clear" w:color="auto" w:fill="auto"/>
        </w:rPr>
        <w:t>、其它事项</w:t>
      </w:r>
    </w:p>
    <w:p w14:paraId="0C780DC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1、合同经双方签字盖章后生效。本合同一式</w:t>
      </w:r>
      <w:r>
        <w:rPr>
          <w:rFonts w:hint="eastAsia" w:ascii="宋体" w:hAnsi="宋体" w:eastAsia="宋体" w:cs="宋体"/>
          <w:color w:val="auto"/>
          <w:sz w:val="20"/>
          <w:szCs w:val="20"/>
          <w:shd w:val="clear" w:color="auto" w:fill="auto"/>
          <w:lang w:val="en-US" w:eastAsia="zh-CN"/>
        </w:rPr>
        <w:t>肆</w:t>
      </w:r>
      <w:r>
        <w:rPr>
          <w:rFonts w:hint="eastAsia" w:ascii="宋体" w:hAnsi="宋体" w:eastAsia="宋体" w:cs="宋体"/>
          <w:color w:val="auto"/>
          <w:sz w:val="20"/>
          <w:szCs w:val="20"/>
          <w:shd w:val="clear" w:color="auto" w:fill="auto"/>
        </w:rPr>
        <w:t>份，甲方执</w:t>
      </w:r>
      <w:r>
        <w:rPr>
          <w:rFonts w:hint="eastAsia" w:ascii="宋体" w:hAnsi="宋体" w:eastAsia="宋体" w:cs="宋体"/>
          <w:color w:val="auto"/>
          <w:sz w:val="20"/>
          <w:szCs w:val="20"/>
          <w:shd w:val="clear" w:color="auto" w:fill="auto"/>
          <w:lang w:val="en-US" w:eastAsia="zh-CN"/>
        </w:rPr>
        <w:t>贰</w:t>
      </w:r>
      <w:r>
        <w:rPr>
          <w:rFonts w:hint="eastAsia" w:ascii="宋体" w:hAnsi="宋体" w:eastAsia="宋体" w:cs="宋体"/>
          <w:color w:val="auto"/>
          <w:sz w:val="20"/>
          <w:szCs w:val="20"/>
          <w:shd w:val="clear" w:color="auto" w:fill="auto"/>
        </w:rPr>
        <w:t>，乙方执</w:t>
      </w:r>
      <w:r>
        <w:rPr>
          <w:rFonts w:hint="eastAsia" w:ascii="宋体" w:hAnsi="宋体" w:eastAsia="宋体" w:cs="宋体"/>
          <w:color w:val="auto"/>
          <w:sz w:val="20"/>
          <w:szCs w:val="20"/>
          <w:shd w:val="clear" w:color="auto" w:fill="auto"/>
          <w:lang w:val="en-US" w:eastAsia="zh-CN"/>
        </w:rPr>
        <w:t>贰</w:t>
      </w:r>
      <w:r>
        <w:rPr>
          <w:rFonts w:hint="eastAsia" w:ascii="宋体" w:hAnsi="宋体" w:eastAsia="宋体" w:cs="宋体"/>
          <w:color w:val="auto"/>
          <w:sz w:val="20"/>
          <w:szCs w:val="20"/>
          <w:shd w:val="clear" w:color="auto" w:fill="auto"/>
        </w:rPr>
        <w:t>份，执行完毕后自行失效。</w:t>
      </w:r>
    </w:p>
    <w:p w14:paraId="13DAFDD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2、下述文件为本合同的一部分，并与本合同一起阅读和解释，且具有同等法律效力：</w:t>
      </w:r>
    </w:p>
    <w:p w14:paraId="08A2B08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①合同附件1：产品配置详单；</w:t>
      </w:r>
    </w:p>
    <w:p w14:paraId="2F6A9F7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②合同附件2：补充条款（如果有）；</w:t>
      </w:r>
    </w:p>
    <w:p w14:paraId="6FA394D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③合同附件3：澄清函及最终报价和承诺</w:t>
      </w:r>
      <w:r>
        <w:rPr>
          <w:rFonts w:hint="eastAsia" w:ascii="宋体" w:hAnsi="宋体" w:eastAsia="宋体" w:cs="宋体"/>
          <w:color w:val="auto"/>
          <w:sz w:val="20"/>
          <w:szCs w:val="20"/>
          <w:shd w:val="clear" w:color="auto" w:fill="auto"/>
          <w:lang w:eastAsia="zh-CN"/>
        </w:rPr>
        <w:t>（</w:t>
      </w:r>
      <w:r>
        <w:rPr>
          <w:rFonts w:hint="eastAsia" w:ascii="宋体" w:hAnsi="宋体" w:eastAsia="宋体" w:cs="宋体"/>
          <w:color w:val="auto"/>
          <w:sz w:val="20"/>
          <w:szCs w:val="20"/>
          <w:shd w:val="clear" w:color="auto" w:fill="auto"/>
          <w:lang w:val="en-US" w:eastAsia="zh-CN"/>
        </w:rPr>
        <w:t>如果有）</w:t>
      </w:r>
      <w:r>
        <w:rPr>
          <w:rFonts w:hint="eastAsia" w:ascii="宋体" w:hAnsi="宋体" w:eastAsia="宋体" w:cs="宋体"/>
          <w:color w:val="auto"/>
          <w:sz w:val="20"/>
          <w:szCs w:val="20"/>
          <w:shd w:val="clear" w:color="auto" w:fill="auto"/>
        </w:rPr>
        <w:t>；</w:t>
      </w:r>
    </w:p>
    <w:p w14:paraId="68F4BC0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④</w:t>
      </w:r>
      <w:r>
        <w:rPr>
          <w:rFonts w:hint="eastAsia" w:ascii="宋体" w:hAnsi="宋体" w:eastAsia="宋体" w:cs="宋体"/>
          <w:color w:val="auto"/>
          <w:sz w:val="20"/>
          <w:szCs w:val="20"/>
          <w:shd w:val="clear" w:color="auto" w:fill="auto"/>
          <w:lang w:val="en-US" w:eastAsia="zh-CN"/>
        </w:rPr>
        <w:t>磋商</w:t>
      </w:r>
      <w:r>
        <w:rPr>
          <w:rFonts w:hint="eastAsia" w:ascii="宋体" w:hAnsi="宋体" w:eastAsia="宋体" w:cs="宋体"/>
          <w:color w:val="auto"/>
          <w:sz w:val="20"/>
          <w:szCs w:val="20"/>
          <w:shd w:val="clear" w:color="auto" w:fill="auto"/>
        </w:rPr>
        <w:t>文件；</w:t>
      </w:r>
    </w:p>
    <w:p w14:paraId="39A25F2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⑤</w:t>
      </w:r>
      <w:r>
        <w:rPr>
          <w:rFonts w:hint="eastAsia" w:ascii="宋体" w:hAnsi="宋体" w:eastAsia="宋体" w:cs="宋体"/>
          <w:color w:val="auto"/>
          <w:sz w:val="20"/>
          <w:szCs w:val="20"/>
          <w:shd w:val="clear" w:color="auto" w:fill="auto"/>
          <w:lang w:val="en-US" w:eastAsia="zh-CN"/>
        </w:rPr>
        <w:t>响应</w:t>
      </w:r>
      <w:r>
        <w:rPr>
          <w:rFonts w:hint="eastAsia" w:ascii="宋体" w:hAnsi="宋体" w:eastAsia="宋体" w:cs="宋体"/>
          <w:color w:val="auto"/>
          <w:sz w:val="20"/>
          <w:szCs w:val="20"/>
          <w:shd w:val="clear" w:color="auto" w:fill="auto"/>
        </w:rPr>
        <w:t>文件；</w:t>
      </w:r>
    </w:p>
    <w:p w14:paraId="6B9CCF4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⑥</w:t>
      </w:r>
      <w:r>
        <w:rPr>
          <w:rFonts w:hint="eastAsia" w:ascii="宋体" w:hAnsi="宋体" w:eastAsia="宋体" w:cs="宋体"/>
          <w:color w:val="auto"/>
          <w:sz w:val="20"/>
          <w:szCs w:val="20"/>
          <w:shd w:val="clear" w:color="auto" w:fill="auto"/>
          <w:lang w:val="en-US" w:eastAsia="zh-CN"/>
        </w:rPr>
        <w:t>成交</w:t>
      </w:r>
      <w:r>
        <w:rPr>
          <w:rFonts w:hint="eastAsia" w:ascii="宋体" w:hAnsi="宋体" w:eastAsia="宋体" w:cs="宋体"/>
          <w:color w:val="auto"/>
          <w:sz w:val="20"/>
          <w:szCs w:val="20"/>
          <w:shd w:val="clear" w:color="auto" w:fill="auto"/>
        </w:rPr>
        <w:t>通知书。</w:t>
      </w:r>
    </w:p>
    <w:p w14:paraId="3755EA7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lang w:val="en-US" w:eastAsia="zh-CN"/>
        </w:rPr>
        <w:t>3、</w:t>
      </w:r>
      <w:r>
        <w:rPr>
          <w:rFonts w:hint="eastAsia" w:ascii="宋体" w:hAnsi="宋体" w:eastAsia="宋体" w:cs="宋体"/>
          <w:color w:val="auto"/>
          <w:sz w:val="20"/>
          <w:szCs w:val="20"/>
          <w:shd w:val="clear" w:color="auto" w:fill="auto"/>
        </w:rPr>
        <w:t>政府采购合同履行中，采购人需追加与合同标的相同的货物、工程或者服务的，在不改变合同其他条款的前提下，可以与供应商协商签订补充合同，但所有补充合同的采购金额不得超过原合同采购金额的百分之十。</w:t>
      </w:r>
    </w:p>
    <w:p w14:paraId="56A434F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lang w:val="en-US" w:eastAsia="zh-CN"/>
        </w:rPr>
        <w:t>4</w:t>
      </w:r>
      <w:r>
        <w:rPr>
          <w:rFonts w:hint="eastAsia" w:ascii="宋体" w:hAnsi="宋体" w:eastAsia="宋体" w:cs="宋体"/>
          <w:color w:val="auto"/>
          <w:sz w:val="20"/>
          <w:szCs w:val="20"/>
          <w:shd w:val="clear" w:color="auto" w:fill="auto"/>
        </w:rPr>
        <w:t>、在本合同执行过程中，甲、乙双方协商签订的补充合同与原合同具有同等法律效力。</w:t>
      </w:r>
    </w:p>
    <w:p w14:paraId="47C29D3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lang w:val="en-US" w:eastAsia="zh-CN"/>
        </w:rPr>
        <w:t>5</w:t>
      </w:r>
      <w:r>
        <w:rPr>
          <w:rFonts w:hint="eastAsia" w:ascii="宋体" w:hAnsi="宋体" w:eastAsia="宋体" w:cs="宋体"/>
          <w:color w:val="auto"/>
          <w:sz w:val="20"/>
          <w:szCs w:val="20"/>
          <w:shd w:val="clear" w:color="auto" w:fill="auto"/>
        </w:rPr>
        <w:t>、未尽事宜，双方协商解决</w:t>
      </w:r>
      <w:r>
        <w:rPr>
          <w:rFonts w:hint="eastAsia" w:ascii="宋体" w:hAnsi="宋体" w:eastAsia="宋体" w:cs="宋体"/>
          <w:color w:val="auto"/>
          <w:sz w:val="20"/>
          <w:szCs w:val="20"/>
          <w:shd w:val="clear" w:color="auto" w:fill="auto"/>
          <w:lang w:eastAsia="zh-CN"/>
        </w:rPr>
        <w:t>，不能解决时向甲方所在地人民法院诉讼解决</w:t>
      </w:r>
      <w:r>
        <w:rPr>
          <w:rFonts w:hint="eastAsia" w:ascii="宋体" w:hAnsi="宋体" w:eastAsia="宋体" w:cs="宋体"/>
          <w:color w:val="auto"/>
          <w:sz w:val="20"/>
          <w:szCs w:val="20"/>
          <w:shd w:val="clear" w:color="auto" w:fill="auto"/>
        </w:rPr>
        <w:t>。</w:t>
      </w:r>
    </w:p>
    <w:p w14:paraId="674070C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default" w:ascii="宋体" w:hAnsi="宋体" w:eastAsia="宋体" w:cs="宋体"/>
          <w:color w:val="auto"/>
          <w:sz w:val="20"/>
          <w:szCs w:val="20"/>
          <w:u w:val="single"/>
          <w:shd w:val="clear" w:color="auto" w:fill="auto"/>
          <w:lang w:val="en-US" w:eastAsia="zh-CN"/>
        </w:rPr>
      </w:pPr>
      <w:r>
        <w:rPr>
          <w:rFonts w:hint="eastAsia" w:ascii="宋体" w:hAnsi="宋体" w:eastAsia="宋体" w:cs="宋体"/>
          <w:color w:val="auto"/>
          <w:sz w:val="20"/>
          <w:szCs w:val="20"/>
          <w:shd w:val="clear" w:color="auto" w:fill="auto"/>
          <w:lang w:val="en-US" w:eastAsia="zh-CN"/>
        </w:rPr>
        <w:t>6</w:t>
      </w:r>
      <w:r>
        <w:rPr>
          <w:rFonts w:hint="eastAsia" w:ascii="宋体" w:hAnsi="宋体" w:eastAsia="宋体" w:cs="宋体"/>
          <w:color w:val="auto"/>
          <w:sz w:val="20"/>
          <w:szCs w:val="20"/>
          <w:shd w:val="clear" w:color="auto" w:fill="auto"/>
        </w:rPr>
        <w:t>、合同签订地点：</w:t>
      </w:r>
      <w:r>
        <w:rPr>
          <w:rFonts w:hint="eastAsia" w:ascii="宋体" w:hAnsi="宋体" w:eastAsia="宋体" w:cs="宋体"/>
          <w:color w:val="auto"/>
          <w:sz w:val="20"/>
          <w:szCs w:val="20"/>
          <w:u w:val="single"/>
          <w:shd w:val="clear" w:color="auto" w:fill="auto"/>
          <w:lang w:val="en-US" w:eastAsia="zh-CN"/>
        </w:rPr>
        <w:t xml:space="preserve">          </w:t>
      </w:r>
    </w:p>
    <w:p w14:paraId="54C73EA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lang w:val="en-US" w:eastAsia="zh-CN"/>
        </w:rPr>
        <w:t>7</w:t>
      </w:r>
      <w:r>
        <w:rPr>
          <w:rFonts w:hint="eastAsia" w:ascii="宋体" w:hAnsi="宋体" w:eastAsia="宋体" w:cs="宋体"/>
          <w:color w:val="auto"/>
          <w:sz w:val="20"/>
          <w:szCs w:val="20"/>
          <w:shd w:val="clear" w:color="auto" w:fill="auto"/>
        </w:rPr>
        <w:t>、合同签订时间：</w:t>
      </w:r>
      <w:r>
        <w:rPr>
          <w:rFonts w:hint="eastAsia" w:ascii="宋体" w:hAnsi="宋体" w:eastAsia="宋体" w:cs="宋体"/>
          <w:color w:val="auto"/>
          <w:sz w:val="20"/>
          <w:szCs w:val="20"/>
          <w:u w:val="single"/>
          <w:shd w:val="clear" w:color="auto" w:fill="auto"/>
        </w:rPr>
        <w:t xml:space="preserve">　　 </w:t>
      </w:r>
      <w:r>
        <w:rPr>
          <w:rFonts w:hint="eastAsia" w:ascii="宋体" w:hAnsi="宋体" w:eastAsia="宋体" w:cs="宋体"/>
          <w:color w:val="auto"/>
          <w:sz w:val="20"/>
          <w:szCs w:val="20"/>
          <w:shd w:val="clear" w:color="auto" w:fill="auto"/>
        </w:rPr>
        <w:t>年</w:t>
      </w:r>
      <w:r>
        <w:rPr>
          <w:rFonts w:hint="eastAsia" w:ascii="宋体" w:hAnsi="宋体" w:eastAsia="宋体" w:cs="宋体"/>
          <w:color w:val="auto"/>
          <w:sz w:val="20"/>
          <w:szCs w:val="20"/>
          <w:u w:val="single"/>
          <w:shd w:val="clear" w:color="auto" w:fill="auto"/>
        </w:rPr>
        <w:t xml:space="preserve">　  </w:t>
      </w:r>
      <w:r>
        <w:rPr>
          <w:rFonts w:hint="eastAsia" w:ascii="宋体" w:hAnsi="宋体" w:eastAsia="宋体" w:cs="宋体"/>
          <w:color w:val="auto"/>
          <w:sz w:val="20"/>
          <w:szCs w:val="20"/>
          <w:shd w:val="clear" w:color="auto" w:fill="auto"/>
        </w:rPr>
        <w:t>月</w:t>
      </w:r>
      <w:r>
        <w:rPr>
          <w:rFonts w:hint="eastAsia" w:ascii="宋体" w:hAnsi="宋体" w:eastAsia="宋体" w:cs="宋体"/>
          <w:color w:val="auto"/>
          <w:sz w:val="20"/>
          <w:szCs w:val="20"/>
          <w:u w:val="single"/>
          <w:shd w:val="clear" w:color="auto" w:fill="auto"/>
        </w:rPr>
        <w:t xml:space="preserve">　  </w:t>
      </w:r>
      <w:r>
        <w:rPr>
          <w:rFonts w:hint="eastAsia" w:ascii="宋体" w:hAnsi="宋体" w:eastAsia="宋体" w:cs="宋体"/>
          <w:color w:val="auto"/>
          <w:sz w:val="20"/>
          <w:szCs w:val="20"/>
          <w:shd w:val="clear" w:color="auto" w:fill="auto"/>
        </w:rPr>
        <w:t>日</w:t>
      </w:r>
    </w:p>
    <w:p w14:paraId="70961311">
      <w:pPr>
        <w:keepNext w:val="0"/>
        <w:keepLines w:val="0"/>
        <w:pageBreakBefore w:val="0"/>
        <w:widowControl w:val="0"/>
        <w:kinsoku/>
        <w:wordWrap/>
        <w:overflowPunct/>
        <w:topLinePunct w:val="0"/>
        <w:autoSpaceDE/>
        <w:autoSpaceDN/>
        <w:bidi w:val="0"/>
        <w:adjustRightInd/>
        <w:snapToGrid/>
        <w:spacing w:line="336" w:lineRule="auto"/>
        <w:ind w:firstLine="400" w:firstLineChars="200"/>
        <w:textAlignment w:val="auto"/>
        <w:rPr>
          <w:rFonts w:hint="eastAsia" w:ascii="宋体" w:hAnsi="宋体" w:eastAsia="宋体" w:cs="宋体"/>
          <w:color w:val="auto"/>
          <w:sz w:val="20"/>
          <w:szCs w:val="20"/>
          <w:shd w:val="clear" w:color="auto" w:fill="auto"/>
        </w:rPr>
      </w:pPr>
    </w:p>
    <w:tbl>
      <w:tblPr>
        <w:tblStyle w:val="6"/>
        <w:tblW w:w="5000" w:type="pct"/>
        <w:jc w:val="center"/>
        <w:tblLayout w:type="autofit"/>
        <w:tblCellMar>
          <w:top w:w="0" w:type="dxa"/>
          <w:left w:w="108" w:type="dxa"/>
          <w:bottom w:w="0" w:type="dxa"/>
          <w:right w:w="108" w:type="dxa"/>
        </w:tblCellMar>
      </w:tblPr>
      <w:tblGrid>
        <w:gridCol w:w="4261"/>
        <w:gridCol w:w="4261"/>
      </w:tblGrid>
      <w:tr w14:paraId="37C8DE18">
        <w:tblPrEx>
          <w:tblCellMar>
            <w:top w:w="0" w:type="dxa"/>
            <w:left w:w="108" w:type="dxa"/>
            <w:bottom w:w="0" w:type="dxa"/>
            <w:right w:w="108" w:type="dxa"/>
          </w:tblCellMar>
        </w:tblPrEx>
        <w:trPr>
          <w:jc w:val="center"/>
        </w:trPr>
        <w:tc>
          <w:tcPr>
            <w:tcW w:w="2500" w:type="pct"/>
          </w:tcPr>
          <w:p w14:paraId="6C9E9F78">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hint="eastAsia" w:eastAsia="仿宋_GB2312"/>
                <w:kern w:val="0"/>
                <w:sz w:val="24"/>
              </w:rPr>
              <w:t>：</w:t>
            </w:r>
          </w:p>
          <w:p w14:paraId="5A60457C">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15F49B98">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0CE1C51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2CCAB5C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3CB2EDFA">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2500" w:type="pct"/>
          </w:tcPr>
          <w:p w14:paraId="1571D580">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hint="eastAsia" w:eastAsia="仿宋_GB2312"/>
                <w:kern w:val="0"/>
                <w:sz w:val="24"/>
              </w:rPr>
              <w:t>：</w:t>
            </w:r>
          </w:p>
          <w:p w14:paraId="702EAF3C">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4B45F4A8">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275430D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688EB63B">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7069D84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69C58E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B0BE4"/>
    <w:rsid w:val="03C77E99"/>
    <w:rsid w:val="0561174D"/>
    <w:rsid w:val="1D2366AB"/>
    <w:rsid w:val="21C02D6D"/>
    <w:rsid w:val="265754CC"/>
    <w:rsid w:val="2755784B"/>
    <w:rsid w:val="29B7714B"/>
    <w:rsid w:val="2A09202A"/>
    <w:rsid w:val="2B57116C"/>
    <w:rsid w:val="2D012D2F"/>
    <w:rsid w:val="2DC047AC"/>
    <w:rsid w:val="35E02BBA"/>
    <w:rsid w:val="3F7B0BE4"/>
    <w:rsid w:val="3FA639A6"/>
    <w:rsid w:val="40563691"/>
    <w:rsid w:val="432B57DF"/>
    <w:rsid w:val="469B0D50"/>
    <w:rsid w:val="4C334E7A"/>
    <w:rsid w:val="578318F4"/>
    <w:rsid w:val="59B63CDD"/>
    <w:rsid w:val="62F04E50"/>
    <w:rsid w:val="688E376F"/>
    <w:rsid w:val="6B9E2823"/>
    <w:rsid w:val="6D2055BE"/>
    <w:rsid w:val="6FA403B2"/>
    <w:rsid w:val="7B165BB8"/>
    <w:rsid w:val="7B3972D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9"/>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0"/>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1"/>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Indent 2"/>
    <w:basedOn w:val="1"/>
    <w:qFormat/>
    <w:uiPriority w:val="0"/>
    <w:pPr>
      <w:ind w:left="555"/>
    </w:pPr>
    <w:rPr>
      <w:sz w:val="28"/>
      <w:szCs w:val="20"/>
    </w:rPr>
  </w:style>
  <w:style w:type="paragraph" w:customStyle="1" w:styleId="8">
    <w:name w:val="正文2"/>
    <w:basedOn w:val="1"/>
    <w:qFormat/>
    <w:uiPriority w:val="0"/>
    <w:pPr>
      <w:ind w:firstLine="562" w:firstLineChars="200"/>
      <w:jc w:val="left"/>
    </w:pPr>
    <w:rPr>
      <w:rFonts w:hint="eastAsia"/>
    </w:rPr>
  </w:style>
  <w:style w:type="character" w:customStyle="1" w:styleId="9">
    <w:name w:val="标题 1 Char"/>
    <w:link w:val="2"/>
    <w:qFormat/>
    <w:uiPriority w:val="0"/>
    <w:rPr>
      <w:rFonts w:ascii="Times New Roman" w:hAnsi="Times New Roman" w:eastAsia="宋体" w:cs="Times New Roman"/>
      <w:b/>
      <w:kern w:val="44"/>
      <w:sz w:val="32"/>
      <w:szCs w:val="21"/>
    </w:rPr>
  </w:style>
  <w:style w:type="character" w:customStyle="1" w:styleId="10">
    <w:name w:val="标题 2 Char"/>
    <w:link w:val="3"/>
    <w:qFormat/>
    <w:uiPriority w:val="9"/>
    <w:rPr>
      <w:rFonts w:ascii="Cambria" w:hAnsi="Cambria" w:eastAsia="宋体" w:cs="Times New Roman"/>
      <w:b/>
      <w:bCs/>
      <w:kern w:val="0"/>
      <w:sz w:val="28"/>
      <w:szCs w:val="32"/>
    </w:rPr>
  </w:style>
  <w:style w:type="character" w:customStyle="1" w:styleId="11">
    <w:name w:val="标题 3 字符"/>
    <w:link w:val="4"/>
    <w:qFormat/>
    <w:uiPriority w:val="0"/>
    <w:rPr>
      <w:rFonts w:ascii="Times New Roman" w:hAnsi="Times New Roman" w:eastAsia="宋体" w:cs="Times New Roman"/>
      <w:b/>
      <w:bCs/>
      <w:sz w:val="32"/>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1988</Words>
  <Characters>2039</Characters>
  <Lines>0</Lines>
  <Paragraphs>0</Paragraphs>
  <TotalTime>1</TotalTime>
  <ScaleCrop>false</ScaleCrop>
  <LinksUpToDate>false</LinksUpToDate>
  <CharactersWithSpaces>2065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2024-12-03T10:23:00Z</dcterms:created>
  <dc:creator>罗永山</dc:creator>
  <cp:lastModifiedBy>Jun</cp:lastModifiedBy>
  <dcterms:modified xsi:type="dcterms:W3CDTF">2025-01-02T09:53:07Z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66FC0BCAD7394252B43FB19C237F7107_11</vt:lpwstr>
  </property>
  <property fmtid="{D5CDD505-2E9C-101B-9397-08002B2CF9AE}" pid="4" name="KSOTemplateDocerSaveRecord">
    <vt:lpwstr>eyJoZGlkIjoiZDU3NDQxYWM0MTczYjBhMzlmYjdkYmMwMzBhMmYwMWMiLCJ1c2VySWQiOiIyNTQ0OTA1OTQifQ==</vt:lpwstr>
  </property>
</Properties>
</file>