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西安浐灞国际港会议活动承办服务项目</w:t>
      </w:r>
    </w:p>
    <w:p>
      <w:pPr>
        <w:pStyle w:val="null3"/>
        <w:jc w:val="center"/>
        <w:outlineLvl w:val="2"/>
      </w:pPr>
      <w:r>
        <w:rPr>
          <w:sz w:val="28"/>
          <w:b/>
        </w:rPr>
        <w:t>采购项目编号：</w:t>
      </w:r>
      <w:r>
        <w:rPr>
          <w:sz w:val="28"/>
          <w:b/>
        </w:rPr>
        <w:t>XACH2024-107、GWZC-2024-155</w:t>
      </w:r>
      <w:r>
        <w:br/>
      </w:r>
      <w:r>
        <w:br/>
      </w:r>
      <w:r>
        <w:br/>
      </w:r>
    </w:p>
    <w:p>
      <w:pPr>
        <w:pStyle w:val="null3"/>
        <w:jc w:val="center"/>
        <w:outlineLvl w:val="2"/>
      </w:pPr>
      <w:r>
        <w:rPr>
          <w:sz w:val="28"/>
          <w:b/>
        </w:rPr>
        <w:t>西安浐灞国际港港口管理局</w:t>
      </w:r>
    </w:p>
    <w:p>
      <w:pPr>
        <w:pStyle w:val="null3"/>
        <w:jc w:val="center"/>
        <w:outlineLvl w:val="2"/>
      </w:pPr>
      <w:r>
        <w:rPr>
          <w:sz w:val="28"/>
          <w:b/>
        </w:rPr>
        <w:t>西安辰和工程咨询有限公司</w:t>
      </w:r>
      <w:r>
        <w:rPr>
          <w:sz w:val="28"/>
          <w:b/>
        </w:rPr>
        <w:t>共同编制</w:t>
      </w:r>
    </w:p>
    <w:p>
      <w:pPr>
        <w:pStyle w:val="null3"/>
        <w:jc w:val="center"/>
        <w:outlineLvl w:val="2"/>
      </w:pPr>
      <w:r>
        <w:rPr>
          <w:sz w:val="28"/>
          <w:b/>
        </w:rPr>
        <w:t>2024年09月05日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西安辰和工程咨询有限公司</w:t>
      </w:r>
      <w:r>
        <w:rPr/>
        <w:t>（以下简称“代理机构”）受</w:t>
      </w:r>
      <w:r>
        <w:rPr/>
        <w:t>西安浐灞国际港港口管理局</w:t>
      </w:r>
      <w:r>
        <w:rPr/>
        <w:t>委托，拟对</w:t>
      </w:r>
      <w:r>
        <w:rPr/>
        <w:t>西安浐灞国际港会议活动承办服务项目</w:t>
      </w:r>
      <w:r>
        <w:rPr/>
        <w:t>采用竞争性磋商采购方式进行采购，兹邀请供应商参加本项目的竞争性磋商。</w:t>
      </w:r>
    </w:p>
    <w:p>
      <w:pPr>
        <w:pStyle w:val="null3"/>
        <w:outlineLvl w:val="2"/>
      </w:pPr>
      <w:r>
        <w:rPr>
          <w:sz w:val="28"/>
          <w:b/>
        </w:rPr>
        <w:t>一、项目编号：</w:t>
      </w:r>
      <w:r>
        <w:rPr>
          <w:sz w:val="28"/>
          <w:b/>
        </w:rPr>
        <w:t>XACH2024-107、GWZC-2024-155</w:t>
      </w:r>
    </w:p>
    <w:p>
      <w:pPr>
        <w:pStyle w:val="null3"/>
        <w:outlineLvl w:val="2"/>
      </w:pPr>
      <w:r>
        <w:rPr>
          <w:sz w:val="28"/>
          <w:b/>
        </w:rPr>
        <w:t>二、项目名称：</w:t>
      </w:r>
      <w:r>
        <w:rPr>
          <w:sz w:val="28"/>
          <w:b/>
        </w:rPr>
        <w:t>西安浐灞国际港会议活动承办服务项目</w:t>
      </w:r>
    </w:p>
    <w:p>
      <w:pPr>
        <w:pStyle w:val="null3"/>
        <w:outlineLvl w:val="2"/>
      </w:pPr>
      <w:r>
        <w:rPr>
          <w:sz w:val="28"/>
          <w:b/>
        </w:rPr>
        <w:t>三、磋商项目简介</w:t>
      </w:r>
    </w:p>
    <w:p>
      <w:pPr>
        <w:pStyle w:val="null3"/>
        <w:ind w:firstLine="480"/>
      </w:pPr>
      <w:r>
        <w:rPr/>
        <w:t>西安浐灞国际港会议活动承办服务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t>2、供应商应授权合法的人员参加磋商全过程：法定代表人授权委托书（附法定代表人身份证复印件）及被授权委托人身份证（法定代表人参加投标只须提供法定代表人身份证）；供应商需在项目电子化交易系统中按要求上传相应证明文件并进行电子签章。</w:t>
      </w:r>
    </w:p>
    <w:p>
      <w:pPr>
        <w:pStyle w:val="null3"/>
      </w:pPr>
      <w:r>
        <w:rPr/>
        <w:t>3、有依法缴纳税收和社会保障资金的良好记录：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pPr>
        <w:pStyle w:val="null3"/>
      </w:pPr>
      <w:r>
        <w:rPr/>
        <w:t>4、供应商具有良好的商业信誉和健全的财务会计制度：提供2023年度财务审计报告或磋商前3个月内供应商基本账户银行出具的资信证明；供应商需在项目电子化交易系统中按要求上传相应证明文件并进行电子签章。</w:t>
      </w:r>
    </w:p>
    <w:p>
      <w:pPr>
        <w:pStyle w:val="null3"/>
      </w:pPr>
      <w:r>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t>6、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t>7、非联合体磋商：非联合体磋商声明；供应商需在项目电子化交易系统中按要求上传相应证明文件并进行电子签章。</w:t>
      </w:r>
    </w:p>
    <w:p>
      <w:pPr>
        <w:pStyle w:val="null3"/>
      </w:pPr>
      <w:r>
        <w:rPr/>
        <w:t>8、供应商信用信息：采购人或采购代理机构将在磋商截止日当天资格审查阶段通过〔信用中国（www.creditchina.gov.cn）〕和〔中国政府采购网（www.ccgp.gov.cn）〕网站对供应商的信用情况进行查询（符合《财政部关于在政府采购活动中查询及使用信用记录有关问题的通知》（财库〔2016〕125号）文件中信用查询的要求），并将网页截图附在评审资料中。</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西安浐灞国际港港口管理局</w:t>
      </w:r>
    </w:p>
    <w:p>
      <w:pPr>
        <w:pStyle w:val="null3"/>
      </w:pPr>
      <w:r>
        <w:rPr/>
        <w:t xml:space="preserve"> 地址： </w:t>
      </w:r>
      <w:r>
        <w:rPr/>
        <w:t>西安市浐灞国际港港务大道6号</w:t>
      </w:r>
    </w:p>
    <w:p>
      <w:pPr>
        <w:pStyle w:val="null3"/>
      </w:pPr>
      <w:r>
        <w:rPr/>
        <w:t xml:space="preserve"> 邮编： </w:t>
      </w:r>
      <w:r>
        <w:rPr/>
        <w:t>710000</w:t>
      </w:r>
    </w:p>
    <w:p>
      <w:pPr>
        <w:pStyle w:val="null3"/>
      </w:pPr>
      <w:r>
        <w:rPr/>
        <w:t xml:space="preserve"> 联系人： </w:t>
      </w:r>
      <w:r>
        <w:rPr/>
        <w:t xml:space="preserve"> 冯老师</w:t>
      </w:r>
    </w:p>
    <w:p>
      <w:pPr>
        <w:pStyle w:val="null3"/>
      </w:pPr>
      <w:r>
        <w:rPr/>
        <w:t xml:space="preserve"> 联系电话： </w:t>
      </w:r>
      <w:r>
        <w:rPr/>
        <w:t>029-83332418</w:t>
      </w:r>
    </w:p>
    <w:p>
      <w:pPr>
        <w:pStyle w:val="null3"/>
        <w:outlineLvl w:val="3"/>
      </w:pPr>
      <w:r>
        <w:rPr>
          <w:sz w:val="24"/>
          <w:b/>
        </w:rPr>
        <w:t>代理机构：</w:t>
      </w:r>
      <w:r>
        <w:rPr>
          <w:sz w:val="24"/>
          <w:b/>
        </w:rPr>
        <w:t>西安辰和工程咨询有限公司</w:t>
      </w:r>
    </w:p>
    <w:p>
      <w:pPr>
        <w:pStyle w:val="null3"/>
      </w:pPr>
      <w:r>
        <w:rPr/>
        <w:t xml:space="preserve"> 地址： </w:t>
      </w:r>
      <w:r>
        <w:rPr/>
        <w:t xml:space="preserve"> 西安高新区锦业路59号高科智慧园B座四层</w:t>
      </w:r>
    </w:p>
    <w:p>
      <w:pPr>
        <w:pStyle w:val="null3"/>
      </w:pPr>
      <w:r>
        <w:rPr/>
        <w:t xml:space="preserve"> 邮编： </w:t>
      </w:r>
      <w:r>
        <w:rPr/>
        <w:t xml:space="preserve"> 710000</w:t>
      </w:r>
    </w:p>
    <w:p>
      <w:pPr>
        <w:pStyle w:val="null3"/>
      </w:pPr>
      <w:r>
        <w:rPr/>
        <w:t xml:space="preserve"> 联系人： </w:t>
      </w:r>
      <w:r>
        <w:rPr/>
        <w:t xml:space="preserve"> 何小瑞 单云</w:t>
      </w:r>
    </w:p>
    <w:p>
      <w:pPr>
        <w:pStyle w:val="null3"/>
      </w:pPr>
      <w:r>
        <w:rPr/>
        <w:t xml:space="preserve"> 联系电话： </w:t>
      </w:r>
      <w:r>
        <w:rPr/>
        <w:t>029-87563729</w:t>
      </w:r>
    </w:p>
    <w:p>
      <w:pPr>
        <w:pStyle w:val="null3"/>
        <w:outlineLvl w:val="3"/>
      </w:pPr>
      <w:r>
        <w:rPr>
          <w:sz w:val="24"/>
          <w:b/>
        </w:rPr>
        <w:t>采购监督机构：</w:t>
      </w:r>
      <w:r>
        <w:rPr>
          <w:sz w:val="24"/>
          <w:b/>
        </w:rPr>
        <w:t>西安浐灞国际港财政金融局</w:t>
      </w:r>
    </w:p>
    <w:p>
      <w:pPr>
        <w:pStyle w:val="null3"/>
        <w:ind w:firstLine="480"/>
      </w:pPr>
      <w:r>
        <w:rPr/>
        <w:t>联系人：</w:t>
      </w:r>
      <w:r>
        <w:rPr/>
        <w:t>袁老师</w:t>
      </w:r>
    </w:p>
    <w:p>
      <w:pPr>
        <w:pStyle w:val="null3"/>
        <w:ind w:firstLine="480"/>
      </w:pPr>
      <w:r>
        <w:rPr/>
        <w:t>联系电话：</w:t>
      </w:r>
      <w:r>
        <w:rPr/>
        <w:t>029-83521198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由成交人支付代理服务费，代理服务费参照《国家计委关于印发&lt;招标代理服务收费管理暂行办法&gt;的通知》（计价格〔2002〕1980号）和发改办价格〔2003〕857号以及发改价格〔2011〕534号文中规定的标准执行，按差额定率累进法收取费用。根据差额定率累进计费方式，100万以下按1.5%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西安浐灞国际港港口管理局</w:t>
      </w:r>
      <w:r>
        <w:rPr/>
        <w:t>和</w:t>
      </w:r>
      <w:r>
        <w:rPr/>
        <w:t>西安辰和工程咨询有限公司</w:t>
      </w:r>
      <w:r>
        <w:rPr/>
        <w:t>享有。对磋商文件中供应商参加本次政府采购活动应当具备的条件，磋商项目技术、服务、商务及其他要求，评审细则及标准由</w:t>
      </w:r>
      <w:r>
        <w:rPr/>
        <w:t>西安浐灞国际港港口管理局</w:t>
      </w:r>
      <w:r>
        <w:rPr/>
        <w:t>负责解释。除上述磋商文件内容，其他内容由</w:t>
      </w:r>
      <w:r>
        <w:rPr/>
        <w:t>西安辰和工程咨询有限公司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西安浐灞国际港港口管理局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西安辰和工程咨询有限公司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达到竞争性磋商文件及国家规定的“合格”标准。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西安辰和工程咨询有限公司</w:t>
      </w:r>
      <w:r>
        <w:rPr/>
        <w:t xml:space="preserve"> 负责答复；供应商对除采购需求外的采购文件的询问、质疑由</w:t>
      </w:r>
      <w:r>
        <w:rPr/>
        <w:t>西安辰和工程咨询有限公司</w:t>
      </w:r>
      <w:r>
        <w:rPr/>
        <w:t xml:space="preserve"> 负责答复；供应商对采购过程、采购结果的询问、质疑由 </w:t>
      </w:r>
      <w:r>
        <w:rPr/>
        <w:t>西安辰和工程咨询有限公司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联系人：何小瑞 单云</w:t>
      </w:r>
    </w:p>
    <w:p>
      <w:pPr>
        <w:pStyle w:val="null3"/>
      </w:pPr>
      <w:r>
        <w:rPr/>
        <w:t>联系电话：029-87563729</w:t>
      </w:r>
    </w:p>
    <w:p>
      <w:pPr>
        <w:pStyle w:val="null3"/>
      </w:pPr>
      <w:r>
        <w:rPr/>
        <w:t>地址：西安高新区锦业路59号高科智慧园B座四层</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西安浐灞国际港会议活动承办服务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950,000.00</w:t>
      </w:r>
    </w:p>
    <w:p>
      <w:pPr>
        <w:pStyle w:val="null3"/>
      </w:pPr>
      <w:r>
        <w:rPr/>
        <w:t>采购包最高限价（元）: 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会议活动承办服务</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标的名称：会议活动承办服务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8"/>
                <w:b/>
                <w:color w:val="000000"/>
              </w:rPr>
              <w:t xml:space="preserve"> </w:t>
            </w:r>
          </w:p>
          <w:p>
            <w:pPr>
              <w:pStyle w:val="null3"/>
              <w:ind w:left="420"/>
              <w:jc w:val="both"/>
            </w:pPr>
            <w:r>
              <w:rPr>
                <w:rFonts w:ascii="仿宋" w:hAnsi="仿宋" w:cs="仿宋" w:eastAsia="仿宋"/>
                <w:sz w:val="28"/>
                <w:b/>
                <w:color w:val="000000"/>
              </w:rPr>
              <w:t xml:space="preserve"> 一、项目名称</w:t>
            </w:r>
            <w:r>
              <w:rPr>
                <w:rFonts w:ascii="仿宋" w:hAnsi="仿宋" w:cs="仿宋" w:eastAsia="仿宋"/>
                <w:sz w:val="28"/>
                <w:color w:val="000000"/>
              </w:rPr>
              <w:t>：西安浐灞国际港会议活动承办服务项目</w:t>
            </w:r>
          </w:p>
          <w:p>
            <w:pPr>
              <w:pStyle w:val="null3"/>
              <w:ind w:left="420"/>
              <w:jc w:val="both"/>
            </w:pPr>
            <w:r>
              <w:rPr>
                <w:rFonts w:ascii="仿宋" w:hAnsi="仿宋" w:cs="仿宋" w:eastAsia="仿宋"/>
                <w:sz w:val="28"/>
                <w:b/>
                <w:color w:val="000000"/>
              </w:rPr>
              <w:t xml:space="preserve"> 二、项目概况</w:t>
            </w:r>
            <w:r>
              <w:rPr>
                <w:rFonts w:ascii="仿宋" w:hAnsi="仿宋" w:cs="仿宋" w:eastAsia="仿宋"/>
                <w:sz w:val="28"/>
                <w:color w:val="000000"/>
              </w:rPr>
              <w:t>：</w:t>
            </w:r>
          </w:p>
          <w:p>
            <w:pPr>
              <w:pStyle w:val="null3"/>
              <w:ind w:firstLine="560"/>
              <w:jc w:val="both"/>
            </w:pPr>
            <w:r>
              <w:rPr>
                <w:rFonts w:ascii="仿宋" w:hAnsi="仿宋" w:cs="仿宋" w:eastAsia="仿宋"/>
                <w:sz w:val="28"/>
                <w:color w:val="000000"/>
              </w:rPr>
              <w:t>会议活动承办，会议规模约500人。</w:t>
            </w:r>
          </w:p>
          <w:p>
            <w:pPr>
              <w:pStyle w:val="null3"/>
              <w:ind w:firstLine="562"/>
              <w:jc w:val="both"/>
            </w:pPr>
            <w:r>
              <w:rPr>
                <w:rFonts w:ascii="仿宋" w:hAnsi="仿宋" w:cs="仿宋" w:eastAsia="仿宋"/>
                <w:sz w:val="28"/>
                <w:b/>
                <w:color w:val="000000"/>
              </w:rPr>
              <w:t>三、服务期限</w:t>
            </w:r>
            <w:r>
              <w:rPr>
                <w:rFonts w:ascii="仿宋" w:hAnsi="仿宋" w:cs="仿宋" w:eastAsia="仿宋"/>
                <w:sz w:val="28"/>
                <w:color w:val="000000"/>
              </w:rPr>
              <w:t>：</w:t>
            </w:r>
            <w:r>
              <w:rPr>
                <w:rFonts w:ascii="仿宋" w:hAnsi="仿宋" w:cs="仿宋" w:eastAsia="仿宋"/>
                <w:sz w:val="28"/>
                <w:color w:val="000000"/>
              </w:rPr>
              <w:t>自合同签订之日起至整个项目结束止。</w:t>
            </w:r>
          </w:p>
          <w:p>
            <w:pPr>
              <w:pStyle w:val="null3"/>
              <w:ind w:firstLine="562"/>
              <w:jc w:val="both"/>
            </w:pPr>
            <w:r>
              <w:rPr>
                <w:rFonts w:ascii="仿宋" w:hAnsi="仿宋" w:cs="仿宋" w:eastAsia="仿宋"/>
                <w:sz w:val="28"/>
                <w:b/>
                <w:color w:val="000000"/>
              </w:rPr>
              <w:t>四、付款方式及依据：</w:t>
            </w:r>
          </w:p>
          <w:p>
            <w:pPr>
              <w:pStyle w:val="null3"/>
              <w:spacing w:after="120"/>
              <w:ind w:firstLine="560"/>
              <w:jc w:val="both"/>
            </w:pPr>
            <w:r>
              <w:rPr>
                <w:rFonts w:ascii="仿宋" w:hAnsi="仿宋" w:cs="仿宋" w:eastAsia="仿宋"/>
                <w:sz w:val="28"/>
                <w:color w:val="000000"/>
              </w:rPr>
              <w:t>付款方式：整个项目结束经采购人验收合格后据实结算并支付所有款项。</w:t>
            </w:r>
          </w:p>
          <w:p>
            <w:pPr>
              <w:pStyle w:val="null3"/>
              <w:spacing w:after="120"/>
              <w:ind w:firstLine="560"/>
              <w:jc w:val="both"/>
            </w:pPr>
            <w:r>
              <w:rPr>
                <w:rFonts w:ascii="仿宋" w:hAnsi="仿宋" w:cs="仿宋" w:eastAsia="仿宋"/>
                <w:sz w:val="28"/>
                <w:color w:val="000000"/>
              </w:rPr>
              <w:t>付款依据：合同、磋商文件、磋商响应文件、发票、验收报告。</w:t>
            </w:r>
          </w:p>
          <w:p>
            <w:pPr>
              <w:pStyle w:val="null3"/>
              <w:spacing w:after="120"/>
              <w:ind w:firstLine="562"/>
              <w:jc w:val="both"/>
            </w:pPr>
            <w:r>
              <w:rPr>
                <w:rFonts w:ascii="仿宋" w:hAnsi="仿宋" w:cs="仿宋" w:eastAsia="仿宋"/>
                <w:sz w:val="28"/>
                <w:b/>
                <w:color w:val="000000"/>
              </w:rPr>
              <w:t>五、服务内容：</w:t>
            </w:r>
          </w:p>
          <w:p>
            <w:pPr>
              <w:pStyle w:val="null3"/>
              <w:ind w:firstLine="560"/>
              <w:jc w:val="both"/>
            </w:pPr>
            <w:r>
              <w:rPr>
                <w:rFonts w:ascii="仿宋" w:hAnsi="仿宋" w:cs="仿宋" w:eastAsia="仿宋"/>
                <w:sz w:val="28"/>
                <w:color w:val="000000"/>
              </w:rPr>
              <w:t>本次会议承办服务工作，主要服务内容包括活动承办过程所需的活动策划、展台搭建撤除、现场组织及餐饮服务、住宿服务、场地租赁、后勤等会议活动包含的全部工作以及其他与本项目实施相关的服务工作，保障活动顺利进行。</w:t>
            </w:r>
          </w:p>
          <w:tbl>
            <w:tblPr>
              <w:tblBorders>
                <w:top w:val="none" w:color="000000" w:sz="4"/>
                <w:left w:val="none" w:color="000000" w:sz="4"/>
                <w:bottom w:val="none" w:color="000000" w:sz="4"/>
                <w:right w:val="none" w:color="000000" w:sz="4"/>
                <w:insideH w:val="none"/>
                <w:insideV w:val="none"/>
              </w:tblBorders>
            </w:tblPr>
            <w:tblGrid>
              <w:gridCol w:w="711"/>
              <w:gridCol w:w="1105"/>
              <w:gridCol w:w="184"/>
              <w:gridCol w:w="290"/>
              <w:gridCol w:w="263"/>
            </w:tblGrid>
            <w:tr>
              <w:tc>
                <w:tcPr>
                  <w:tcW w:type="dxa" w:w="7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b/>
                      <w:color w:val="000000"/>
                    </w:rPr>
                    <w:t>项目</w:t>
                  </w:r>
                </w:p>
              </w:tc>
              <w:tc>
                <w:tcPr>
                  <w:tcW w:type="dxa" w:w="11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b/>
                      <w:color w:val="000000"/>
                    </w:rPr>
                    <w:t>内容</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b/>
                      <w:color w:val="000000"/>
                    </w:rPr>
                    <w:t>单位</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b/>
                      <w:color w:val="000000"/>
                    </w:rPr>
                    <w:t>数量</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b/>
                      <w:color w:val="000000"/>
                    </w:rPr>
                    <w:t>天数</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 w:hAnsi="仿宋" w:cs="仿宋" w:eastAsia="仿宋"/>
                      <w:sz w:val="28"/>
                      <w:b/>
                      <w:color w:val="000000"/>
                    </w:rPr>
                    <w:t>第一部分  接待用车</w:t>
                  </w:r>
                </w:p>
              </w:tc>
            </w:tr>
            <w:tr>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车辆</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商务车</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中巴车</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 w:hAnsi="仿宋" w:cs="仿宋" w:eastAsia="仿宋"/>
                      <w:sz w:val="28"/>
                      <w:b/>
                      <w:color w:val="000000"/>
                    </w:rPr>
                    <w:t>第二部分  活动场地</w:t>
                  </w:r>
                </w:p>
              </w:tc>
            </w:tr>
            <w:tr>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活动场地</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会场1（可容纳500人）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天</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会场2（可容纳20人）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天</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会场3（可容纳70人）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天</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半</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会场4（可容纳30人）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天</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半</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茶歇</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 w:hAnsi="仿宋" w:cs="仿宋" w:eastAsia="仿宋"/>
                      <w:sz w:val="28"/>
                      <w:b/>
                      <w:color w:val="000000"/>
                    </w:rPr>
                    <w:t>第三部分  室内外搭建</w:t>
                  </w:r>
                </w:p>
              </w:tc>
            </w:tr>
            <w:tr>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外场氛围营造</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道旗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60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木工定制、美陈异型木工</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项</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小号美陈异型木工</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项</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序厅装饰</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迎宾区展板含材料双层黑白布及铝合金桁架（8*4）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32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签到展板含材料双层黑白布及铝合金桁架</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32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门头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主KV视觉墙</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签到墙 绗架喷绘</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32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沿路功能区域指引</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立屏展架（主K）通道沿途指引（含贵宾室1个）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舞台</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LED</w:t>
                  </w:r>
                  <w:r>
                    <w:rPr>
                      <w:rFonts w:ascii="仿宋" w:hAnsi="仿宋" w:cs="仿宋" w:eastAsia="仿宋"/>
                      <w:sz w:val="28"/>
                      <w:color w:val="000000"/>
                    </w:rPr>
                    <w:t>大屏系统（26*5.5m）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143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雷亚架（大屏幕背架及灯光架）</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吨</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铝合金结构阻燃饰板舞台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150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加厚拉绒阻燃舞台地毯</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150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演讲台木工定制可升降（演讲台上主题）</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项</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多功能厅灯光</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灯光架TRUSS架（2个立柱）+逆光架、面光灯、逆光灯、光束灯、集成控制调光台、配电箱及线材配件、灯光师</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多功能厅音响</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音柱音响、线性阵列主扩音响、音控师、数字调音台、线材和配件</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 w:hAnsi="仿宋" w:cs="仿宋" w:eastAsia="仿宋"/>
                      <w:sz w:val="28"/>
                      <w:b/>
                      <w:color w:val="000000"/>
                    </w:rPr>
                    <w:t>第四部分  现场执行</w:t>
                  </w:r>
                </w:p>
              </w:tc>
            </w:tr>
            <w:tr>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会务人员</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接待礼仪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画外音主持人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会务彩排兼职</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翻译</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速记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同声传译耳机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300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现场摄像</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照片直播2机位</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摄影摄像4机位（含外拍）</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导播台含人员</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台</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摄像 1台流动机位 2台固定机位（大景、定点特写）</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印刷物料</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会务手册；内页157铜版纸，封面200克铜版纸，4面以内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本</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议程单页</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各类证照</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 w:hAnsi="仿宋" w:cs="仿宋" w:eastAsia="仿宋"/>
                      <w:sz w:val="28"/>
                      <w:b/>
                      <w:color w:val="000000"/>
                    </w:rPr>
                    <w:t>第四部分  运输及人工</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搭建人员</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布场撤场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运输</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往返运输</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 w:hAnsi="仿宋" w:cs="仿宋" w:eastAsia="仿宋"/>
                      <w:sz w:val="28"/>
                      <w:b/>
                      <w:color w:val="000000"/>
                    </w:rPr>
                    <w:t>第五部分  住宿餐饮</w:t>
                  </w:r>
                </w:p>
              </w:tc>
            </w:tr>
            <w:tr>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住宿用餐</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住房</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间</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30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自助餐</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310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w:t>
                  </w:r>
                </w:p>
              </w:tc>
            </w:tr>
            <w:tr>
              <w:tc>
                <w:tcPr>
                  <w:tcW w:type="dxa" w:w="711"/>
                  <w:vMerge/>
                  <w:tcBorders>
                    <w:top w:val="none" w:color="000000" w:sz="4"/>
                    <w:left w:val="singl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25</w:t>
                  </w:r>
                  <w:r>
                    <w:rPr>
                      <w:rFonts w:ascii="仿宋" w:hAnsi="仿宋" w:cs="仿宋" w:eastAsia="仿宋"/>
                      <w:sz w:val="28"/>
                      <w:color w:val="000000"/>
                    </w:rPr>
                    <w:t>人桌餐</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color w:val="000000"/>
                    </w:rPr>
                    <w:t>/</w:t>
                  </w:r>
                </w:p>
              </w:tc>
            </w:tr>
          </w:tbl>
          <w:p>
            <w:pPr>
              <w:pStyle w:val="null3"/>
            </w:pPr>
            <w:r>
              <w:rPr>
                <w:rFonts w:ascii="仿宋" w:hAnsi="仿宋" w:cs="仿宋" w:eastAsia="仿宋"/>
                <w:sz w:val="28"/>
                <w:color w:val="000000"/>
              </w:rPr>
              <w:t>注：1、供应商报价时，可结合实际情况综合考虑在此清单基础上增减物料。</w:t>
            </w:r>
          </w:p>
          <w:p>
            <w:pPr>
              <w:pStyle w:val="null3"/>
              <w:numPr>
                <w:ilvl w:val="0"/>
                <w:numId w:val="1"/>
              </w:numPr>
            </w:pPr>
            <w:r>
              <w:rPr>
                <w:rFonts w:ascii="仿宋" w:hAnsi="仿宋" w:cs="仿宋" w:eastAsia="仿宋"/>
                <w:sz w:val="28"/>
                <w:color w:val="000000"/>
              </w:rPr>
              <w:t>本项目</w:t>
            </w:r>
            <w:r>
              <w:rPr>
                <w:rFonts w:ascii="仿宋" w:hAnsi="仿宋" w:cs="仿宋" w:eastAsia="仿宋"/>
                <w:sz w:val="28"/>
                <w:color w:val="000000"/>
              </w:rPr>
              <w:t>磋商报价为</w:t>
            </w:r>
            <w:r>
              <w:rPr>
                <w:rFonts w:ascii="仿宋" w:hAnsi="仿宋" w:cs="仿宋" w:eastAsia="仿宋"/>
                <w:sz w:val="28"/>
                <w:color w:val="000000"/>
              </w:rPr>
              <w:t>固定</w:t>
            </w:r>
            <w:r>
              <w:rPr>
                <w:rFonts w:ascii="仿宋" w:hAnsi="仿宋" w:cs="仿宋" w:eastAsia="仿宋"/>
                <w:sz w:val="28"/>
                <w:color w:val="000000"/>
              </w:rPr>
              <w:t>单价。磋商报价</w:t>
            </w:r>
            <w:r>
              <w:rPr>
                <w:rFonts w:ascii="仿宋" w:hAnsi="仿宋" w:cs="仿宋" w:eastAsia="仿宋"/>
                <w:sz w:val="28"/>
                <w:color w:val="000000"/>
              </w:rPr>
              <w:t>为完成本项目达到国家及</w:t>
            </w:r>
            <w:r>
              <w:rPr>
                <w:rFonts w:ascii="仿宋" w:hAnsi="仿宋" w:cs="仿宋" w:eastAsia="仿宋"/>
                <w:sz w:val="28"/>
                <w:color w:val="000000"/>
              </w:rPr>
              <w:t>采购人</w:t>
            </w:r>
            <w:r>
              <w:rPr>
                <w:rFonts w:ascii="仿宋" w:hAnsi="仿宋" w:cs="仿宋" w:eastAsia="仿宋"/>
                <w:sz w:val="28"/>
                <w:color w:val="000000"/>
              </w:rPr>
              <w:t>验收标准而产生的所有费用</w:t>
            </w:r>
            <w:r>
              <w:rPr>
                <w:rFonts w:ascii="仿宋" w:hAnsi="仿宋" w:cs="仿宋" w:eastAsia="仿宋"/>
                <w:sz w:val="28"/>
                <w:color w:val="000000"/>
              </w:rPr>
              <w:t>。</w:t>
            </w:r>
          </w:p>
          <w:p>
            <w:pPr>
              <w:pStyle w:val="null3"/>
              <w:spacing w:after="120"/>
              <w:ind w:firstLine="562"/>
              <w:jc w:val="both"/>
            </w:pPr>
            <w:r>
              <w:rPr>
                <w:rFonts w:ascii="仿宋" w:hAnsi="仿宋" w:cs="仿宋" w:eastAsia="仿宋"/>
                <w:sz w:val="28"/>
                <w:b/>
                <w:color w:val="000000"/>
              </w:rPr>
              <w:t>六、服务要求</w:t>
            </w:r>
          </w:p>
          <w:p>
            <w:pPr>
              <w:pStyle w:val="null3"/>
              <w:ind w:firstLine="560"/>
            </w:pPr>
            <w:r>
              <w:rPr>
                <w:rFonts w:ascii="仿宋" w:hAnsi="仿宋" w:cs="仿宋" w:eastAsia="仿宋"/>
                <w:sz w:val="28"/>
                <w:color w:val="000000"/>
              </w:rPr>
              <w:t>1</w:t>
            </w:r>
            <w:r>
              <w:rPr>
                <w:rFonts w:ascii="仿宋" w:hAnsi="仿宋" w:cs="仿宋" w:eastAsia="仿宋"/>
                <w:sz w:val="28"/>
                <w:color w:val="000000"/>
              </w:rPr>
              <w:t>、设计：整体设计贴合主题，突出重点，展示新颖、独特，风格明快、造型亮眼；合理利用现有面积，布局科学合理，确保参会路线流畅。</w:t>
            </w:r>
          </w:p>
          <w:p>
            <w:pPr>
              <w:pStyle w:val="null3"/>
              <w:ind w:firstLine="560"/>
            </w:pPr>
            <w:r>
              <w:rPr>
                <w:rFonts w:ascii="仿宋" w:hAnsi="仿宋" w:cs="仿宋" w:eastAsia="仿宋"/>
                <w:sz w:val="28"/>
                <w:color w:val="000000"/>
              </w:rPr>
              <w:t>2</w:t>
            </w:r>
            <w:r>
              <w:rPr>
                <w:rFonts w:ascii="仿宋" w:hAnsi="仿宋" w:cs="仿宋" w:eastAsia="仿宋"/>
                <w:sz w:val="28"/>
                <w:color w:val="000000"/>
              </w:rPr>
              <w:t>、现场所用物料、材质须与方案中一致，</w:t>
            </w:r>
            <w:r>
              <w:rPr>
                <w:rFonts w:ascii="仿宋" w:hAnsi="仿宋" w:cs="仿宋" w:eastAsia="仿宋"/>
                <w:sz w:val="28"/>
                <w:color w:val="000000"/>
              </w:rPr>
              <w:t>严禁使用对环境造成污染的材料、易燃易爆材料、有挥发性气味的材料以及国家法律禁止使用的材料。优先使用节能环保材料。</w:t>
            </w:r>
          </w:p>
          <w:p>
            <w:pPr>
              <w:pStyle w:val="null3"/>
              <w:ind w:firstLine="560"/>
            </w:pPr>
            <w:r>
              <w:rPr>
                <w:rFonts w:ascii="仿宋" w:hAnsi="仿宋" w:cs="仿宋" w:eastAsia="仿宋"/>
                <w:sz w:val="28"/>
                <w:color w:val="000000"/>
              </w:rPr>
              <w:t>3</w:t>
            </w:r>
            <w:r>
              <w:rPr>
                <w:rFonts w:ascii="仿宋" w:hAnsi="仿宋" w:cs="仿宋" w:eastAsia="仿宋"/>
                <w:sz w:val="28"/>
                <w:color w:val="000000"/>
              </w:rPr>
              <w:t>、供应商应配备专业的服务团队，安排专人负责对接活动流程。</w:t>
            </w:r>
          </w:p>
          <w:p>
            <w:pPr>
              <w:pStyle w:val="null3"/>
              <w:ind w:firstLine="560"/>
            </w:pPr>
            <w:r>
              <w:rPr>
                <w:rFonts w:ascii="仿宋" w:hAnsi="仿宋" w:cs="仿宋" w:eastAsia="仿宋"/>
                <w:sz w:val="28"/>
                <w:color w:val="000000"/>
              </w:rPr>
              <w:t>4</w:t>
            </w:r>
            <w:r>
              <w:rPr>
                <w:rFonts w:ascii="仿宋" w:hAnsi="仿宋" w:cs="仿宋" w:eastAsia="仿宋"/>
                <w:sz w:val="28"/>
                <w:color w:val="000000"/>
              </w:rPr>
              <w:t>、在项目实施过程中，确保结构、施工、用电、设备等安全；遵守整体消防要求，具备合理的消防及应急预案。</w:t>
            </w:r>
          </w:p>
          <w:p>
            <w:pPr>
              <w:pStyle w:val="null3"/>
              <w:ind w:firstLine="560"/>
            </w:pPr>
            <w:r>
              <w:rPr>
                <w:rFonts w:ascii="仿宋" w:hAnsi="仿宋" w:cs="仿宋" w:eastAsia="仿宋"/>
                <w:sz w:val="28"/>
                <w:color w:val="000000"/>
              </w:rPr>
              <w:t>5</w:t>
            </w:r>
            <w:r>
              <w:rPr>
                <w:rFonts w:ascii="仿宋" w:hAnsi="仿宋" w:cs="仿宋" w:eastAsia="仿宋"/>
                <w:sz w:val="28"/>
                <w:color w:val="000000"/>
              </w:rPr>
              <w:t>、供应商应保障项目的顺利实施，并采取必要措施保障项目参与人员和第三方的人身及财产安全；</w:t>
            </w:r>
          </w:p>
          <w:p>
            <w:pPr>
              <w:pStyle w:val="null3"/>
              <w:ind w:firstLine="560"/>
            </w:pPr>
            <w:r>
              <w:rPr>
                <w:rFonts w:ascii="仿宋" w:hAnsi="仿宋" w:cs="仿宋" w:eastAsia="仿宋"/>
                <w:sz w:val="28"/>
                <w:color w:val="000000"/>
              </w:rPr>
              <w:t>6</w:t>
            </w:r>
            <w:r>
              <w:rPr>
                <w:rFonts w:ascii="仿宋" w:hAnsi="仿宋" w:cs="仿宋" w:eastAsia="仿宋"/>
                <w:sz w:val="28"/>
                <w:color w:val="000000"/>
              </w:rPr>
              <w:t>、积极配合采购人完成各项工作。</w:t>
            </w:r>
          </w:p>
          <w:p>
            <w:pPr>
              <w:pStyle w:val="null3"/>
              <w:ind w:firstLine="560"/>
            </w:pPr>
            <w:r>
              <w:rPr>
                <w:rFonts w:ascii="仿宋" w:hAnsi="仿宋" w:cs="仿宋" w:eastAsia="仿宋"/>
                <w:sz w:val="28"/>
                <w:color w:val="000000"/>
              </w:rPr>
              <w:t>7</w:t>
            </w:r>
            <w:r>
              <w:rPr>
                <w:rFonts w:ascii="仿宋" w:hAnsi="仿宋" w:cs="仿宋" w:eastAsia="仿宋"/>
                <w:sz w:val="28"/>
                <w:color w:val="000000"/>
              </w:rPr>
              <w:t>、结束后，负责撤场及展位拆除工作，可再次利用的材料，负责打包运输至采购人指定位置，并对现场垃圾进行清运。</w:t>
            </w:r>
          </w:p>
          <w:p>
            <w:pPr>
              <w:pStyle w:val="null3"/>
              <w:ind w:firstLine="560"/>
            </w:pPr>
            <w:r>
              <w:rPr>
                <w:rFonts w:ascii="仿宋" w:hAnsi="仿宋" w:cs="仿宋" w:eastAsia="仿宋"/>
                <w:sz w:val="28"/>
                <w:color w:val="000000"/>
              </w:rPr>
              <w:t>8</w:t>
            </w:r>
            <w:r>
              <w:rPr>
                <w:rFonts w:ascii="仿宋" w:hAnsi="仿宋" w:cs="仿宋" w:eastAsia="仿宋"/>
                <w:sz w:val="28"/>
                <w:color w:val="000000"/>
              </w:rPr>
              <w:t>、活动结束后须及时将过程资料整理并提交至采购人。</w:t>
            </w:r>
          </w:p>
          <w:p>
            <w:pPr>
              <w:pStyle w:val="null3"/>
              <w:ind w:firstLine="560"/>
            </w:pPr>
            <w:r>
              <w:rPr>
                <w:rFonts w:ascii="仿宋" w:hAnsi="仿宋" w:cs="仿宋" w:eastAsia="仿宋"/>
                <w:sz w:val="28"/>
                <w:color w:val="000000"/>
              </w:rPr>
              <w:t>9</w:t>
            </w:r>
            <w:r>
              <w:rPr>
                <w:rFonts w:ascii="仿宋" w:hAnsi="仿宋" w:cs="仿宋" w:eastAsia="仿宋"/>
                <w:sz w:val="28"/>
                <w:color w:val="000000"/>
              </w:rPr>
              <w:t>、策划方案待采购人审核确认后，方可进行下一阶段的工作。</w:t>
            </w:r>
          </w:p>
          <w:p>
            <w:pPr>
              <w:pStyle w:val="null3"/>
            </w:pPr>
          </w:p>
        </w:tc>
      </w:tr>
    </w:tbl>
    <w:p>
      <w:pPr>
        <w:pStyle w:val="null3"/>
        <w:outlineLvl w:val="2"/>
      </w:pPr>
      <w:r>
        <w:rPr>
          <w:sz w:val="28"/>
          <w:b/>
        </w:rPr>
        <w:t>3.2.3人员配置要求</w:t>
      </w:r>
    </w:p>
    <w:p>
      <w:pPr>
        <w:pStyle w:val="null3"/>
      </w:pPr>
      <w:r>
        <w:rPr/>
        <w:t>采购包1：</w:t>
      </w:r>
    </w:p>
    <w:p>
      <w:pPr>
        <w:pStyle w:val="null3"/>
      </w:pPr>
      <w:r>
        <w:rPr/>
        <w:t>根据技术参数与性能指标配备相应人数，确保项目顺利实施。</w:t>
      </w:r>
    </w:p>
    <w:p>
      <w:pPr>
        <w:pStyle w:val="null3"/>
        <w:outlineLvl w:val="2"/>
      </w:pPr>
      <w:r>
        <w:rPr>
          <w:sz w:val="28"/>
          <w:b/>
        </w:rPr>
        <w:t>3.2.4设施设备要求</w:t>
      </w:r>
    </w:p>
    <w:p>
      <w:pPr>
        <w:pStyle w:val="null3"/>
      </w:pPr>
      <w:r>
        <w:rPr/>
        <w:t>采购包1：</w:t>
      </w:r>
    </w:p>
    <w:p>
      <w:pPr>
        <w:pStyle w:val="null3"/>
      </w:pPr>
      <w:r>
        <w:rPr/>
        <w:t>根据技术参数与性能指标配备相应设施设备，确保项目顺利实施。</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自合同签订之日起至整个项目结束止</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①本项目竞争性磋商文件、磋商响应文件； ②本合同及附件文本； ③合同签订时国家及行业现行的标准和技术规范； ④乙方应向甲方提交项目实施过程中的所有资料，以便甲方日后管理和维护。</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整个项目结束经采购人验收合格后据实结算并支付所有款项</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乙方如未按照约定内容实施，自违约之日起，每日按合同暂定总价的2‰向甲方承担违约责任并且及时采取有效补救措施。如乙方交付成果，经甲方审核连续3次不能通过的，甲方有权单方解除合同，并依据有关规定向乙方主张违约责任。 2、乙方成果对甲方产生重大不良影响的，则甲方有权解除合同，乙方应退还已支付合同金额并按合同暂定总价的30%向甲方支付违约金并承担违约责任，同时将工作资料、已取得工作成果和其他相关的资料一并移交甲方，乙方不得以任何理由拒绝或拖延提交有关资料，或提供不真实、不准确、不完整的资料。 3、双方本着友好合作的态度,对合同履行过程中发生的纠纷应及时协商解决,协商不成，向甲方所在地人民法院诉讼解决。</w:t>
      </w:r>
    </w:p>
    <w:p>
      <w:pPr>
        <w:pStyle w:val="null3"/>
        <w:outlineLvl w:val="2"/>
      </w:pPr>
      <w:r>
        <w:rPr>
          <w:sz w:val="28"/>
          <w:b/>
        </w:rPr>
        <w:t>3.4其他要求</w:t>
      </w:r>
    </w:p>
    <w:p>
      <w:pPr>
        <w:pStyle w:val="null3"/>
      </w:pPr>
      <w:r>
        <w:rPr/>
        <w:t>3.4.1磋商报价为完成本项目磋商文件中所提出的工作范围及要求的全部内容，并达到国家及采购人验收标准而产生的所有费用，包括但不限于服务费、人工费、策划费、搭建拆除费、餐饮费、住宿费、后勤保障费、场地租赁费、设备使用费、材料费、制作费、管理费、维护费、验收、招标代理费、利润、税金、风险及完成工作准备阶段、组织实施阶段、验收阶段等所需的全部费用。任何错报、漏报由供应商自行负责。 3.4.2供应商在各大平台有被政府或相关部门通报或者在类似活动中存在违法违规行为的，不得参与该合同项下的磋商活动。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供应商具有独立承担民事责任的能力</w:t>
            </w:r>
          </w:p>
        </w:tc>
        <w:tc>
          <w:tcPr>
            <w:tcW w:type="dxa" w:w="3322"/>
          </w:tcPr>
          <w:p>
            <w:pPr>
              <w:pStyle w:val="null3"/>
            </w:pPr>
            <w:r>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供应商应授权合法的人员参加磋商全过程</w:t>
            </w:r>
          </w:p>
        </w:tc>
        <w:tc>
          <w:tcPr>
            <w:tcW w:type="dxa" w:w="3322"/>
          </w:tcPr>
          <w:p>
            <w:pPr>
              <w:pStyle w:val="null3"/>
            </w:pPr>
            <w:r>
              <w:rPr/>
              <w:t>法定代表人授权委托书（附法定代表人身份证复印件）及被授权委托人身份证（法定代表人参加投标只须提供法定代表人身份证）；供应商需在项目电子化交易系统中按要求上传相应证明文件并进行电子签章。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有依法缴纳税收和社会保障资金的良好记录</w:t>
            </w:r>
          </w:p>
        </w:tc>
        <w:tc>
          <w:tcPr>
            <w:tcW w:type="dxa" w:w="3322"/>
          </w:tcPr>
          <w:p>
            <w:pPr>
              <w:pStyle w:val="null3"/>
            </w:pPr>
            <w:r>
              <w:rPr/>
              <w:t>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供应商具有良好的商业信誉和健全的财务会计制度</w:t>
            </w:r>
          </w:p>
        </w:tc>
        <w:tc>
          <w:tcPr>
            <w:tcW w:type="dxa" w:w="3322"/>
          </w:tcPr>
          <w:p>
            <w:pPr>
              <w:pStyle w:val="null3"/>
            </w:pPr>
            <w:r>
              <w:rPr/>
              <w:t>提供2023年度财务审计报告或磋商前3个月内供应商基本账户银行出具的资信证明；供应商需在项目电子化交易系统中按要求上传相应证明文件并进行电子签章。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供应商具有履行合同所必需的设备和专业技术能力</w:t>
            </w:r>
          </w:p>
        </w:tc>
        <w:tc>
          <w:tcPr>
            <w:tcW w:type="dxa" w:w="3322"/>
          </w:tcPr>
          <w:p>
            <w:pPr>
              <w:pStyle w:val="null3"/>
            </w:pPr>
            <w:r>
              <w:rPr/>
              <w:t>具有履行合同所必需的设备和专业技术能力的声明；供应商需在项目电子化交易系统中按要求上传相应证明文件并进行电子签章。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供应商参加政府采购活动前三年内在经营活动中没有重大违法记录</w:t>
            </w:r>
          </w:p>
        </w:tc>
        <w:tc>
          <w:tcPr>
            <w:tcW w:type="dxa" w:w="3322"/>
          </w:tcPr>
          <w:p>
            <w:pPr>
              <w:pStyle w:val="null3"/>
            </w:pPr>
            <w:r>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非联合体磋商</w:t>
            </w:r>
          </w:p>
        </w:tc>
        <w:tc>
          <w:tcPr>
            <w:tcW w:type="dxa" w:w="3322"/>
          </w:tcPr>
          <w:p>
            <w:pPr>
              <w:pStyle w:val="null3"/>
            </w:pPr>
            <w:r>
              <w:rPr/>
              <w:t>非联合体磋商声明；供应商需在项目电子化交易系统中按要求上传相应证明文件并进行电子签章。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供应商信用信息</w:t>
            </w:r>
          </w:p>
        </w:tc>
        <w:tc>
          <w:tcPr>
            <w:tcW w:type="dxa" w:w="3322"/>
          </w:tcPr>
          <w:p>
            <w:pPr>
              <w:pStyle w:val="null3"/>
            </w:pPr>
            <w:r>
              <w:rPr/>
              <w:t>采购人或采购代理机构将在磋商截止日当天资格审查阶段通过〔信用中国（www.creditchina.gov.cn）〕和〔中国政府采购网（www.ccgp.gov.cn）〕网站对供应商的信用情况进行查询（符合《财政部关于在政府采购活动中查询及使用信用记录有关问题的通知》（财库〔2016〕125号）文件中信用查询的要求），并将网页截图附在评审资料中。</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报价一览表及分项报价表 标的清单 报价表</w:t>
            </w:r>
          </w:p>
        </w:tc>
      </w:tr>
      <w:tr>
        <w:tc>
          <w:tcPr>
            <w:tcW w:type="dxa" w:w="831"/>
          </w:tcPr>
          <w:p>
            <w:pPr>
              <w:pStyle w:val="null3"/>
            </w:pPr>
            <w:r>
              <w:rPr/>
              <w:t>2</w:t>
            </w:r>
          </w:p>
        </w:tc>
        <w:tc>
          <w:tcPr>
            <w:tcW w:type="dxa" w:w="2492"/>
          </w:tcPr>
          <w:p>
            <w:pPr>
              <w:pStyle w:val="null3"/>
            </w:pPr>
            <w:r>
              <w:rPr/>
              <w:t>磋商响应文件签署</w:t>
            </w:r>
          </w:p>
        </w:tc>
        <w:tc>
          <w:tcPr>
            <w:tcW w:type="dxa" w:w="3322"/>
          </w:tcPr>
          <w:p>
            <w:pPr>
              <w:pStyle w:val="null3"/>
            </w:pPr>
            <w:r>
              <w:rPr/>
              <w:t>响应文件、磋商响应函加盖供应商公章并经法定代表人或被授权委托人签字或盖章的；</w:t>
            </w:r>
          </w:p>
        </w:tc>
        <w:tc>
          <w:tcPr>
            <w:tcW w:type="dxa" w:w="1661"/>
          </w:tcPr>
          <w:p>
            <w:pPr>
              <w:pStyle w:val="null3"/>
            </w:pPr>
            <w:r>
              <w:rPr/>
              <w:t>响应文件封面 资格证明文件 报价一览表及分项报价表 中小企业声明函 残疾人福利性单位声明函 商务应答表 承诺书 标的清单 报价表 响应函 监狱企业的证明文件 业绩证明文件及响应方案说明</w:t>
            </w:r>
          </w:p>
        </w:tc>
      </w:tr>
      <w:tr>
        <w:tc>
          <w:tcPr>
            <w:tcW w:type="dxa" w:w="831"/>
          </w:tcPr>
          <w:p>
            <w:pPr>
              <w:pStyle w:val="null3"/>
            </w:pPr>
            <w:r>
              <w:rPr/>
              <w:t>3</w:t>
            </w:r>
          </w:p>
        </w:tc>
        <w:tc>
          <w:tcPr>
            <w:tcW w:type="dxa" w:w="2492"/>
          </w:tcPr>
          <w:p>
            <w:pPr>
              <w:pStyle w:val="null3"/>
            </w:pPr>
            <w:r>
              <w:rPr/>
              <w:t>磋商响应有效期</w:t>
            </w:r>
          </w:p>
        </w:tc>
        <w:tc>
          <w:tcPr>
            <w:tcW w:type="dxa" w:w="3322"/>
          </w:tcPr>
          <w:p>
            <w:pPr>
              <w:pStyle w:val="null3"/>
            </w:pPr>
            <w:r>
              <w:rPr/>
              <w:t>磋商响应有效期达到磋商文件的要求；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选择性报价</w:t>
            </w:r>
          </w:p>
        </w:tc>
        <w:tc>
          <w:tcPr>
            <w:tcW w:type="dxa" w:w="3322"/>
          </w:tcPr>
          <w:p>
            <w:pPr>
              <w:pStyle w:val="null3"/>
            </w:pPr>
            <w:r>
              <w:rPr/>
              <w:t>供应商针对同一服务未递交两份或多份内容不同的响应文件，未出现选择性报价的；</w:t>
            </w:r>
          </w:p>
        </w:tc>
        <w:tc>
          <w:tcPr>
            <w:tcW w:type="dxa" w:w="1661"/>
          </w:tcPr>
          <w:p>
            <w:pPr>
              <w:pStyle w:val="null3"/>
            </w:pPr>
            <w:r>
              <w:rPr/>
              <w:t>服务内容及服务邀请应答表 报价一览表及分项报价表 商务应答表 标的清单 报价表</w:t>
            </w:r>
          </w:p>
        </w:tc>
      </w:tr>
      <w:tr>
        <w:tc>
          <w:tcPr>
            <w:tcW w:type="dxa" w:w="831"/>
          </w:tcPr>
          <w:p>
            <w:pPr>
              <w:pStyle w:val="null3"/>
            </w:pPr>
            <w:r>
              <w:rPr/>
              <w:t>5</w:t>
            </w:r>
          </w:p>
        </w:tc>
        <w:tc>
          <w:tcPr>
            <w:tcW w:type="dxa" w:w="2492"/>
          </w:tcPr>
          <w:p>
            <w:pPr>
              <w:pStyle w:val="null3"/>
            </w:pPr>
            <w:r>
              <w:rPr/>
              <w:t>符合商务、技术要求</w:t>
            </w:r>
          </w:p>
        </w:tc>
        <w:tc>
          <w:tcPr>
            <w:tcW w:type="dxa" w:w="3322"/>
          </w:tcPr>
          <w:p>
            <w:pPr>
              <w:pStyle w:val="null3"/>
            </w:pPr>
            <w:r>
              <w:rPr/>
              <w:t>符合商务、技术要求，不存在重大负偏离的；</w:t>
            </w:r>
          </w:p>
        </w:tc>
        <w:tc>
          <w:tcPr>
            <w:tcW w:type="dxa" w:w="1661"/>
          </w:tcPr>
          <w:p>
            <w:pPr>
              <w:pStyle w:val="null3"/>
            </w:pPr>
            <w:r>
              <w:rPr/>
              <w:t>服务内容及服务邀请应答表 商务应答表</w:t>
            </w:r>
          </w:p>
        </w:tc>
      </w:tr>
      <w:tr>
        <w:tc>
          <w:tcPr>
            <w:tcW w:type="dxa" w:w="831"/>
          </w:tcPr>
          <w:p>
            <w:pPr>
              <w:pStyle w:val="null3"/>
            </w:pPr>
            <w:r>
              <w:rPr/>
              <w:t>6</w:t>
            </w:r>
          </w:p>
        </w:tc>
        <w:tc>
          <w:tcPr>
            <w:tcW w:type="dxa" w:w="2492"/>
          </w:tcPr>
          <w:p>
            <w:pPr>
              <w:pStyle w:val="null3"/>
            </w:pPr>
            <w:r>
              <w:rPr/>
              <w:t>响应文件未附有采购人不能接受的条件</w:t>
            </w:r>
          </w:p>
        </w:tc>
        <w:tc>
          <w:tcPr>
            <w:tcW w:type="dxa" w:w="3322"/>
          </w:tcPr>
          <w:p>
            <w:pPr>
              <w:pStyle w:val="null3"/>
            </w:pPr>
            <w:r>
              <w:rPr/>
              <w:t>响应文件未附有采购人不能接受的条件；</w:t>
            </w:r>
          </w:p>
        </w:tc>
        <w:tc>
          <w:tcPr>
            <w:tcW w:type="dxa" w:w="1661"/>
          </w:tcPr>
          <w:p>
            <w:pPr>
              <w:pStyle w:val="null3"/>
            </w:pPr>
            <w:r>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t>7</w:t>
            </w:r>
          </w:p>
        </w:tc>
        <w:tc>
          <w:tcPr>
            <w:tcW w:type="dxa" w:w="2492"/>
          </w:tcPr>
          <w:p>
            <w:pPr>
              <w:pStyle w:val="null3"/>
            </w:pPr>
            <w:r>
              <w:rPr/>
              <w:t>符合磋商文件规定的其他实质性要求的</w:t>
            </w:r>
          </w:p>
        </w:tc>
        <w:tc>
          <w:tcPr>
            <w:tcW w:type="dxa" w:w="3322"/>
          </w:tcPr>
          <w:p>
            <w:pPr>
              <w:pStyle w:val="null3"/>
            </w:pPr>
            <w:r>
              <w:rPr/>
              <w:t>符合磋商文件规定的其他实质性要求的；</w:t>
            </w:r>
          </w:p>
        </w:tc>
        <w:tc>
          <w:tcPr>
            <w:tcW w:type="dxa" w:w="1661"/>
          </w:tcPr>
          <w:p>
            <w:pPr>
              <w:pStyle w:val="null3"/>
            </w:pPr>
            <w:r>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t>8</w:t>
            </w:r>
          </w:p>
        </w:tc>
        <w:tc>
          <w:tcPr>
            <w:tcW w:type="dxa" w:w="2492"/>
          </w:tcPr>
          <w:p>
            <w:pPr>
              <w:pStyle w:val="null3"/>
            </w:pPr>
            <w:r>
              <w:rPr/>
              <w:t>符合《中华人民共和国政府采购法》有关规定和磋商纪律的</w:t>
            </w:r>
          </w:p>
        </w:tc>
        <w:tc>
          <w:tcPr>
            <w:tcW w:type="dxa" w:w="3322"/>
          </w:tcPr>
          <w:p>
            <w:pPr>
              <w:pStyle w:val="null3"/>
            </w:pPr>
            <w:r>
              <w:rPr/>
              <w:t>符合《中华人民共和国政府采购法》有关规定和磋商纪律的。</w:t>
            </w:r>
          </w:p>
        </w:tc>
        <w:tc>
          <w:tcPr>
            <w:tcW w:type="dxa" w:w="1661"/>
          </w:tcPr>
          <w:p>
            <w:pPr>
              <w:pStyle w:val="null3"/>
            </w:pPr>
            <w:r>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企业业绩证明</w:t>
            </w:r>
          </w:p>
        </w:tc>
        <w:tc>
          <w:tcPr>
            <w:tcW w:type="dxa" w:w="2492"/>
          </w:tcPr>
          <w:p>
            <w:pPr>
              <w:pStyle w:val="null3"/>
            </w:pPr>
            <w:r>
              <w:rPr/>
              <w:t>提供2021年8月以来类似项目业绩合同（以合同签订时间为准），每份计2分，满分6分。 （注：以上证明文件在磋商响应文件中附业绩合同扫描件并加盖公司公章。）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业绩证明文件及响应方案说明</w:t>
            </w:r>
          </w:p>
        </w:tc>
      </w:tr>
      <w:tr>
        <w:tc>
          <w:tcPr>
            <w:tcW w:type="dxa" w:w="831"/>
            <w:vMerge/>
          </w:tcPr>
          <w:p/>
        </w:tc>
        <w:tc>
          <w:tcPr>
            <w:tcW w:type="dxa" w:w="1661"/>
          </w:tcPr>
          <w:p>
            <w:pPr>
              <w:pStyle w:val="null3"/>
            </w:pPr>
            <w:r>
              <w:rPr/>
              <w:t>会场设计及搭建方案</w:t>
            </w:r>
          </w:p>
        </w:tc>
        <w:tc>
          <w:tcPr>
            <w:tcW w:type="dxa" w:w="2492"/>
          </w:tcPr>
          <w:p>
            <w:pPr>
              <w:pStyle w:val="null3"/>
            </w:pPr>
            <w:r>
              <w:rPr/>
              <w:t>提供会场设计及搭建方案（方案的空间规划、动线设置合理，主题突出，可行性高、表现力强得（4～8]分；方案的空间规划、动线设置较合理，有可行性得（0～4]分），本项满分8分；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业绩证明文件及响应方案说明</w:t>
            </w:r>
          </w:p>
        </w:tc>
      </w:tr>
      <w:tr>
        <w:tc>
          <w:tcPr>
            <w:tcW w:type="dxa" w:w="831"/>
            <w:vMerge/>
          </w:tcPr>
          <w:p/>
        </w:tc>
        <w:tc>
          <w:tcPr>
            <w:tcW w:type="dxa" w:w="1661"/>
          </w:tcPr>
          <w:p>
            <w:pPr>
              <w:pStyle w:val="null3"/>
            </w:pPr>
            <w:r>
              <w:rPr/>
              <w:t>设施设备</w:t>
            </w:r>
          </w:p>
        </w:tc>
        <w:tc>
          <w:tcPr>
            <w:tcW w:type="dxa" w:w="2492"/>
          </w:tcPr>
          <w:p>
            <w:pPr>
              <w:pStyle w:val="null3"/>
            </w:pPr>
            <w:r>
              <w:rPr/>
              <w:t>拟投入的设施设备，包括但不限于设备参数、品牌及使用年限等（设备器械齐全、先进，使用年限短得（4～8]分；设备基本齐全，较先进，使用年限较长得（0～4]分)，本项满分8分；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业绩证明文件及响应方案说明</w:t>
            </w:r>
          </w:p>
        </w:tc>
      </w:tr>
      <w:tr>
        <w:tc>
          <w:tcPr>
            <w:tcW w:type="dxa" w:w="831"/>
            <w:vMerge/>
          </w:tcPr>
          <w:p/>
        </w:tc>
        <w:tc>
          <w:tcPr>
            <w:tcW w:type="dxa" w:w="1661"/>
          </w:tcPr>
          <w:p>
            <w:pPr>
              <w:pStyle w:val="null3"/>
            </w:pPr>
            <w:r>
              <w:rPr/>
              <w:t>进度措施</w:t>
            </w:r>
          </w:p>
        </w:tc>
        <w:tc>
          <w:tcPr>
            <w:tcW w:type="dxa" w:w="2492"/>
          </w:tcPr>
          <w:p>
            <w:pPr>
              <w:pStyle w:val="null3"/>
            </w:pPr>
            <w:r>
              <w:rPr/>
              <w:t>确保本项目进度的技术组织措施(措施可操作性强、细节描述详细得（4～8]分；有相对的操作性，细节描述良好，进度掌握合理得（0～4]分)，本项满分8分；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业绩证明文件及响应方案说明</w:t>
            </w:r>
          </w:p>
        </w:tc>
      </w:tr>
      <w:tr>
        <w:tc>
          <w:tcPr>
            <w:tcW w:type="dxa" w:w="831"/>
            <w:vMerge/>
          </w:tcPr>
          <w:p/>
        </w:tc>
        <w:tc>
          <w:tcPr>
            <w:tcW w:type="dxa" w:w="1661"/>
          </w:tcPr>
          <w:p>
            <w:pPr>
              <w:pStyle w:val="null3"/>
            </w:pPr>
            <w:r>
              <w:rPr/>
              <w:t>服务方案</w:t>
            </w:r>
          </w:p>
        </w:tc>
        <w:tc>
          <w:tcPr>
            <w:tcW w:type="dxa" w:w="2492"/>
          </w:tcPr>
          <w:p>
            <w:pPr>
              <w:pStyle w:val="null3"/>
            </w:pPr>
            <w:r>
              <w:rPr/>
              <w:t>针对本项目制定详细、全面的服务方案（方案总体思路清晰、针对性强、技术科学可行得（7～10]分；方案总体思路基本明确，有一定的针对性得（4～7]分；方案思路模糊，针对性较差、无亮点，涵盖内容略有欠缺得（0～4]分），本项满分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业绩证明文件及响应方案说明</w:t>
            </w:r>
          </w:p>
        </w:tc>
      </w:tr>
      <w:tr>
        <w:tc>
          <w:tcPr>
            <w:tcW w:type="dxa" w:w="831"/>
            <w:vMerge/>
          </w:tcPr>
          <w:p/>
        </w:tc>
        <w:tc>
          <w:tcPr>
            <w:tcW w:type="dxa" w:w="1661"/>
          </w:tcPr>
          <w:p>
            <w:pPr>
              <w:pStyle w:val="null3"/>
            </w:pPr>
            <w:r>
              <w:rPr/>
              <w:t>活动策划方案</w:t>
            </w:r>
          </w:p>
        </w:tc>
        <w:tc>
          <w:tcPr>
            <w:tcW w:type="dxa" w:w="2492"/>
          </w:tcPr>
          <w:p>
            <w:pPr>
              <w:pStyle w:val="null3"/>
            </w:pPr>
            <w:r>
              <w:rPr/>
              <w:t>提供本项目活动策划方案，根据响应程度得（0～6]分；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业绩证明文件及响应方案说明</w:t>
            </w:r>
          </w:p>
        </w:tc>
      </w:tr>
      <w:tr>
        <w:tc>
          <w:tcPr>
            <w:tcW w:type="dxa" w:w="831"/>
            <w:vMerge/>
          </w:tcPr>
          <w:p/>
        </w:tc>
        <w:tc>
          <w:tcPr>
            <w:tcW w:type="dxa" w:w="1661"/>
          </w:tcPr>
          <w:p>
            <w:pPr>
              <w:pStyle w:val="null3"/>
            </w:pPr>
            <w:r>
              <w:rPr/>
              <w:t>会务保障方案</w:t>
            </w:r>
          </w:p>
        </w:tc>
        <w:tc>
          <w:tcPr>
            <w:tcW w:type="dxa" w:w="2492"/>
          </w:tcPr>
          <w:p>
            <w:pPr>
              <w:pStyle w:val="null3"/>
            </w:pPr>
            <w:r>
              <w:rPr/>
              <w:t>提供会务保障方案（包括但不限于在接待、用餐、住宿、后勤等方面），根据响应程度得（0～6]分；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业绩证明文件及响应方案说明</w:t>
            </w:r>
          </w:p>
        </w:tc>
      </w:tr>
      <w:tr>
        <w:tc>
          <w:tcPr>
            <w:tcW w:type="dxa" w:w="831"/>
            <w:vMerge/>
          </w:tcPr>
          <w:p/>
        </w:tc>
        <w:tc>
          <w:tcPr>
            <w:tcW w:type="dxa" w:w="1661"/>
          </w:tcPr>
          <w:p>
            <w:pPr>
              <w:pStyle w:val="null3"/>
            </w:pPr>
            <w:r>
              <w:rPr/>
              <w:t>项目人员</w:t>
            </w:r>
          </w:p>
        </w:tc>
        <w:tc>
          <w:tcPr>
            <w:tcW w:type="dxa" w:w="2492"/>
          </w:tcPr>
          <w:p>
            <w:pPr>
              <w:pStyle w:val="null3"/>
            </w:pPr>
            <w:r>
              <w:rPr/>
              <w:t>拟派项目人员的从业资格、构成数量、从业年限、专业程度、工作经历等（人员配备充足合理、岗位设置齐全，分工明确，团队成员经验丰富、专业水平高的得（4～8]分；人员配备合理，岗位设置基本齐全，分工基本明确，团队部分成员有经验得（0～4]分），本项满分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业绩证明文件及响应方案说明</w:t>
            </w:r>
          </w:p>
        </w:tc>
      </w:tr>
      <w:tr>
        <w:tc>
          <w:tcPr>
            <w:tcW w:type="dxa" w:w="831"/>
            <w:vMerge/>
          </w:tcPr>
          <w:p/>
        </w:tc>
        <w:tc>
          <w:tcPr>
            <w:tcW w:type="dxa" w:w="1661"/>
          </w:tcPr>
          <w:p>
            <w:pPr>
              <w:pStyle w:val="null3"/>
            </w:pPr>
            <w:r>
              <w:rPr/>
              <w:t>质量措施</w:t>
            </w:r>
          </w:p>
        </w:tc>
        <w:tc>
          <w:tcPr>
            <w:tcW w:type="dxa" w:w="2492"/>
          </w:tcPr>
          <w:p>
            <w:pPr>
              <w:pStyle w:val="null3"/>
            </w:pPr>
            <w:r>
              <w:rPr/>
              <w:t>确保本项目质量的技术组织措施(措施可操作性强、细节描述详细得（4～8]分；有相对的操作性，细节描述良好得（0～4]分)，本项满分8分；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业绩证明文件及响应方案说明</w:t>
            </w:r>
          </w:p>
        </w:tc>
      </w:tr>
      <w:tr>
        <w:tc>
          <w:tcPr>
            <w:tcW w:type="dxa" w:w="831"/>
            <w:vMerge/>
          </w:tcPr>
          <w:p/>
        </w:tc>
        <w:tc>
          <w:tcPr>
            <w:tcW w:type="dxa" w:w="1661"/>
          </w:tcPr>
          <w:p>
            <w:pPr>
              <w:pStyle w:val="null3"/>
            </w:pPr>
            <w:r>
              <w:rPr/>
              <w:t>应急预案</w:t>
            </w:r>
          </w:p>
        </w:tc>
        <w:tc>
          <w:tcPr>
            <w:tcW w:type="dxa" w:w="2492"/>
          </w:tcPr>
          <w:p>
            <w:pPr>
              <w:pStyle w:val="null3"/>
            </w:pPr>
            <w:r>
              <w:rPr/>
              <w:t>针对本项目应急预案措施，包括但不限于突发事件的解决和处理方案等，方案合理、措施明确、切实可行、及时有保障，根据响应程度得（0～4]分；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业绩证明文件及响应方案说明</w:t>
            </w:r>
          </w:p>
        </w:tc>
      </w:tr>
      <w:tr>
        <w:tc>
          <w:tcPr>
            <w:tcW w:type="dxa" w:w="831"/>
            <w:vMerge/>
          </w:tcPr>
          <w:p/>
        </w:tc>
        <w:tc>
          <w:tcPr>
            <w:tcW w:type="dxa" w:w="1661"/>
          </w:tcPr>
          <w:p>
            <w:pPr>
              <w:pStyle w:val="null3"/>
            </w:pPr>
            <w:r>
              <w:rPr/>
              <w:t>合理化建议</w:t>
            </w:r>
          </w:p>
        </w:tc>
        <w:tc>
          <w:tcPr>
            <w:tcW w:type="dxa" w:w="2492"/>
          </w:tcPr>
          <w:p>
            <w:pPr>
              <w:pStyle w:val="null3"/>
            </w:pPr>
            <w:r>
              <w:rPr/>
              <w:t>其他针对本项目的合理化建议，根据响应程度得（0～3]分。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业绩证明文件及响应方案说明</w:t>
            </w:r>
          </w:p>
        </w:tc>
      </w:tr>
      <w:tr>
        <w:tc>
          <w:tcPr>
            <w:tcW w:type="dxa" w:w="831"/>
            <w:vMerge/>
          </w:tcPr>
          <w:p/>
        </w:tc>
        <w:tc>
          <w:tcPr>
            <w:tcW w:type="dxa" w:w="1661"/>
          </w:tcPr>
          <w:p>
            <w:pPr>
              <w:pStyle w:val="null3"/>
            </w:pPr>
            <w:r>
              <w:rPr/>
              <w:t>服务承诺</w:t>
            </w:r>
          </w:p>
        </w:tc>
        <w:tc>
          <w:tcPr>
            <w:tcW w:type="dxa" w:w="2492"/>
          </w:tcPr>
          <w:p>
            <w:pPr>
              <w:pStyle w:val="null3"/>
            </w:pPr>
            <w:r>
              <w:rPr/>
              <w:t>承诺完全响应磋商文件和合同条款的要求，对服务期限内质量、内部管理保障、人员到位情况、服务的响应时间、安全保障及配合程度等做出实质性承诺，承诺内容充分完整，细节考虑到位计（5～10]分，承诺内容基本符合要求计（0～5]分，本项满分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业绩证明文件及响应方案说明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最后报价最低的供应商的价格为磋商基准价，其价格分为满分。其他供应商的价格分统一按照下列公式计算：磋商报价得分=（磋商基准价/最后磋商报价）×价格权重（15%）×100</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报价一览表及分项报价表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报价一览表及分项报价表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详见附件：报价一览表及分项报价表</w:t>
      </w:r>
    </w:p>
    <w:p>
      <w:pPr>
        <w:pStyle w:val="null3"/>
        <w:ind w:firstLine="960"/>
      </w:pPr>
      <w:r>
        <w:rPr/>
        <w:t>详见附件：承诺书</w:t>
      </w:r>
    </w:p>
    <w:p>
      <w:pPr>
        <w:pStyle w:val="null3"/>
        <w:ind w:firstLine="960"/>
      </w:pPr>
      <w:r>
        <w:rPr/>
        <w:t>详见附件：业绩证明文件及响应方案说明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