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3E6B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拟签订合同文本</w:t>
      </w:r>
    </w:p>
    <w:p w14:paraId="60468A21">
      <w:pPr>
        <w:tabs>
          <w:tab w:val="left" w:pos="735"/>
        </w:tabs>
        <w:autoSpaceDE w:val="0"/>
        <w:autoSpaceDN w:val="0"/>
        <w:adjustRightInd w:val="0"/>
        <w:snapToGrid w:val="0"/>
        <w:spacing w:before="312" w:beforeLines="100" w:line="360" w:lineRule="auto"/>
        <w:ind w:firstLine="629"/>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u w:val="single"/>
          <w:lang w:val="en-US" w:eastAsia="zh-CN"/>
        </w:rPr>
        <w:t xml:space="preserve">            </w:t>
      </w:r>
      <w:r>
        <w:rPr>
          <w:rFonts w:hint="eastAsia" w:ascii="仿宋" w:hAnsi="仿宋" w:eastAsia="仿宋" w:cs="仿宋"/>
          <w:bCs/>
          <w:sz w:val="24"/>
          <w:lang w:val="zh-CN"/>
        </w:rPr>
        <w:t xml:space="preserve">    </w:t>
      </w:r>
    </w:p>
    <w:p w14:paraId="3C247C29">
      <w:pPr>
        <w:tabs>
          <w:tab w:val="left" w:pos="735"/>
        </w:tabs>
        <w:autoSpaceDE w:val="0"/>
        <w:autoSpaceDN w:val="0"/>
        <w:adjustRightInd w:val="0"/>
        <w:snapToGrid w:val="0"/>
        <w:spacing w:line="360" w:lineRule="auto"/>
        <w:ind w:firstLine="631"/>
        <w:rPr>
          <w:rFonts w:hint="eastAsia" w:ascii="仿宋" w:hAnsi="仿宋" w:eastAsia="仿宋" w:cs="仿宋"/>
          <w:bCs/>
          <w:sz w:val="24"/>
          <w:u w:val="single"/>
          <w:lang w:val="en-US" w:eastAsia="zh-CN"/>
        </w:rPr>
      </w:pPr>
      <w:r>
        <w:rPr>
          <w:rFonts w:hint="eastAsia" w:ascii="仿宋" w:hAnsi="仿宋" w:eastAsia="仿宋" w:cs="仿宋"/>
          <w:b/>
          <w:bCs/>
          <w:sz w:val="24"/>
          <w:lang w:val="zh-CN"/>
        </w:rPr>
        <w:t>乙方：</w:t>
      </w:r>
      <w:r>
        <w:rPr>
          <w:rFonts w:hint="eastAsia" w:ascii="仿宋" w:hAnsi="仿宋" w:eastAsia="仿宋" w:cs="仿宋"/>
          <w:bCs/>
          <w:sz w:val="24"/>
          <w:u w:val="single"/>
          <w:lang w:val="en-US" w:eastAsia="zh-CN"/>
        </w:rPr>
        <w:t xml:space="preserve">            </w:t>
      </w:r>
    </w:p>
    <w:p w14:paraId="2A27BA04">
      <w:pPr>
        <w:numPr>
          <w:ilvl w:val="0"/>
          <w:numId w:val="1"/>
        </w:numPr>
        <w:adjustRightInd w:val="0"/>
        <w:snapToGrid w:val="0"/>
        <w:spacing w:line="360" w:lineRule="auto"/>
        <w:ind w:firstLine="482" w:firstLineChars="200"/>
        <w:rPr>
          <w:rFonts w:hint="eastAsia" w:ascii="仿宋" w:hAnsi="仿宋" w:eastAsia="仿宋" w:cs="仿宋"/>
          <w:b/>
          <w:bCs/>
          <w:sz w:val="24"/>
        </w:rPr>
      </w:pPr>
      <w:bookmarkStart w:id="0" w:name="_Toc19515384"/>
      <w:r>
        <w:rPr>
          <w:rFonts w:hint="eastAsia" w:ascii="仿宋" w:hAnsi="仿宋" w:eastAsia="仿宋" w:cs="仿宋"/>
          <w:b/>
          <w:bCs/>
          <w:sz w:val="24"/>
        </w:rPr>
        <w:t>合同内容（标的、数量、质量等）:</w:t>
      </w:r>
      <w:bookmarkEnd w:id="0"/>
    </w:p>
    <w:p w14:paraId="25FBE794">
      <w:pPr>
        <w:numPr>
          <w:ilvl w:val="0"/>
          <w:numId w:val="0"/>
        </w:numPr>
        <w:adjustRightInd w:val="0"/>
        <w:snapToGrid w:val="0"/>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附清单</w:t>
      </w:r>
      <w:r>
        <w:rPr>
          <w:rFonts w:hint="eastAsia" w:ascii="仿宋" w:hAnsi="仿宋" w:eastAsia="仿宋" w:cs="仿宋"/>
          <w:sz w:val="24"/>
          <w:lang w:eastAsia="zh-CN"/>
        </w:rPr>
        <w:t>）</w:t>
      </w:r>
    </w:p>
    <w:p w14:paraId="1DE2A6EA">
      <w:pPr>
        <w:adjustRightInd w:val="0"/>
        <w:snapToGrid w:val="0"/>
        <w:spacing w:line="360" w:lineRule="auto"/>
        <w:ind w:firstLine="482" w:firstLineChars="200"/>
        <w:rPr>
          <w:rFonts w:hint="eastAsia" w:ascii="仿宋" w:hAnsi="仿宋" w:eastAsia="仿宋" w:cs="仿宋"/>
          <w:b/>
          <w:bCs/>
          <w:sz w:val="24"/>
        </w:rPr>
      </w:pPr>
      <w:bookmarkStart w:id="1" w:name="_Toc19515385"/>
      <w:r>
        <w:rPr>
          <w:rFonts w:hint="eastAsia" w:ascii="仿宋" w:hAnsi="仿宋" w:eastAsia="仿宋" w:cs="仿宋"/>
          <w:b/>
          <w:bCs/>
          <w:sz w:val="24"/>
        </w:rPr>
        <w:t>二、合同价款</w:t>
      </w:r>
      <w:bookmarkEnd w:id="1"/>
    </w:p>
    <w:p w14:paraId="126B575B">
      <w:pPr>
        <w:adjustRightInd w:val="0"/>
        <w:snapToGrid w:val="0"/>
        <w:spacing w:line="360" w:lineRule="auto"/>
        <w:ind w:firstLine="480" w:firstLineChars="200"/>
        <w:rPr>
          <w:rFonts w:hint="default" w:ascii="仿宋" w:hAnsi="仿宋" w:eastAsia="仿宋" w:cs="仿宋"/>
          <w:sz w:val="24"/>
          <w:u w:val="single"/>
          <w:lang w:val="en-US" w:eastAsia="zh-CN"/>
        </w:rPr>
      </w:pPr>
      <w:r>
        <w:rPr>
          <w:rFonts w:hint="eastAsia" w:ascii="仿宋" w:hAnsi="仿宋" w:eastAsia="仿宋" w:cs="仿宋"/>
          <w:sz w:val="24"/>
        </w:rPr>
        <w:t>1、合同总价</w:t>
      </w:r>
      <w:r>
        <w:rPr>
          <w:rFonts w:hint="eastAsia" w:ascii="仿宋" w:hAnsi="仿宋" w:eastAsia="仿宋" w:cs="仿宋"/>
          <w:sz w:val="24"/>
          <w:lang w:eastAsia="zh-CN"/>
        </w:rPr>
        <w:t>（</w:t>
      </w:r>
      <w:r>
        <w:rPr>
          <w:rFonts w:hint="eastAsia" w:ascii="仿宋" w:hAnsi="仿宋" w:eastAsia="仿宋" w:cs="仿宋"/>
          <w:sz w:val="24"/>
          <w:lang w:val="en-US" w:eastAsia="zh-CN"/>
        </w:rPr>
        <w:t>含税</w:t>
      </w:r>
      <w:r>
        <w:rPr>
          <w:rFonts w:hint="eastAsia" w:ascii="仿宋" w:hAnsi="仿宋" w:eastAsia="仿宋" w:cs="仿宋"/>
          <w:sz w:val="24"/>
          <w:lang w:eastAsia="zh-CN"/>
        </w:rPr>
        <w:t>）</w:t>
      </w:r>
      <w:r>
        <w:rPr>
          <w:rFonts w:hint="eastAsia" w:ascii="仿宋" w:hAnsi="仿宋" w:eastAsia="仿宋" w:cs="仿宋"/>
          <w:sz w:val="24"/>
        </w:rPr>
        <w:t>：</w:t>
      </w:r>
      <w:r>
        <w:rPr>
          <w:rFonts w:hint="eastAsia" w:ascii="仿宋" w:hAnsi="仿宋" w:eastAsia="仿宋" w:cs="仿宋"/>
          <w:sz w:val="24"/>
          <w:u w:val="single"/>
          <w:lang w:val="en-US" w:eastAsia="zh-CN"/>
        </w:rPr>
        <w:t xml:space="preserve">           </w:t>
      </w:r>
    </w:p>
    <w:p w14:paraId="13366D7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、合同总价一次包死，不受市场价变化的影响。</w:t>
      </w:r>
    </w:p>
    <w:p w14:paraId="4BBC432E">
      <w:pPr>
        <w:adjustRightInd w:val="0"/>
        <w:snapToGrid w:val="0"/>
        <w:spacing w:line="360" w:lineRule="auto"/>
        <w:ind w:firstLine="482" w:firstLineChars="200"/>
        <w:rPr>
          <w:rFonts w:hint="eastAsia" w:ascii="仿宋" w:hAnsi="仿宋" w:eastAsia="仿宋" w:cs="仿宋"/>
          <w:b/>
          <w:bCs/>
          <w:sz w:val="24"/>
        </w:rPr>
      </w:pPr>
      <w:bookmarkStart w:id="2" w:name="_Toc19515386"/>
      <w:r>
        <w:rPr>
          <w:rFonts w:hint="eastAsia" w:ascii="仿宋" w:hAnsi="仿宋" w:eastAsia="仿宋" w:cs="仿宋"/>
          <w:b/>
          <w:bCs/>
          <w:sz w:val="24"/>
        </w:rPr>
        <w:t>三、合同结算</w:t>
      </w:r>
      <w:bookmarkEnd w:id="2"/>
    </w:p>
    <w:p w14:paraId="7FFC6D3B">
      <w:pPr>
        <w:adjustRightInd w:val="0"/>
        <w:snapToGrid w:val="0"/>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rPr>
        <w:t>1、付款</w:t>
      </w:r>
      <w:r>
        <w:rPr>
          <w:rFonts w:hint="eastAsia" w:ascii="仿宋" w:hAnsi="仿宋" w:eastAsia="仿宋" w:cs="仿宋"/>
          <w:sz w:val="24"/>
          <w:highlight w:val="none"/>
        </w:rPr>
        <w:t>比例：</w:t>
      </w: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1</w:t>
      </w:r>
      <w:r>
        <w:rPr>
          <w:rFonts w:hint="eastAsia" w:ascii="仿宋" w:hAnsi="仿宋" w:eastAsia="仿宋" w:cs="仿宋"/>
          <w:sz w:val="24"/>
          <w:highlight w:val="none"/>
          <w:lang w:eastAsia="zh-CN"/>
        </w:rPr>
        <w:t>）:合同签订后，乙方向甲方开具足额发票 ，达到付款条件起 15 日内，支付合同总金额的 40.00%。</w:t>
      </w:r>
    </w:p>
    <w:p w14:paraId="6C244D66">
      <w:pPr>
        <w:adjustRightInd w:val="0"/>
        <w:snapToGrid w:val="0"/>
        <w:spacing w:line="360" w:lineRule="auto"/>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2</w:t>
      </w: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 xml:space="preserve"> 所有设备到货并全部安装到位，验收合</w:t>
      </w:r>
      <w:bookmarkStart w:id="12" w:name="_GoBack"/>
      <w:bookmarkEnd w:id="12"/>
      <w:r>
        <w:rPr>
          <w:rFonts w:hint="eastAsia" w:ascii="仿宋" w:hAnsi="仿宋" w:eastAsia="仿宋" w:cs="仿宋"/>
          <w:sz w:val="24"/>
          <w:highlight w:val="none"/>
          <w:lang w:val="en-US" w:eastAsia="zh-CN"/>
        </w:rPr>
        <w:t>格后 ，达到付款条件起 15 日内，支付合同总金额的 60.00%。</w:t>
      </w:r>
    </w:p>
    <w:p w14:paraId="78332FF1">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sz w:val="24"/>
          <w:highlight w:val="none"/>
        </w:rPr>
        <w:t>2、结算方式：</w:t>
      </w:r>
      <w:r>
        <w:rPr>
          <w:rFonts w:hint="eastAsia" w:ascii="仿宋" w:hAnsi="仿宋" w:eastAsia="仿宋" w:cs="仿宋"/>
          <w:color w:val="auto"/>
          <w:sz w:val="24"/>
          <w:highlight w:val="none"/>
        </w:rPr>
        <w:t>银行转账。</w:t>
      </w:r>
    </w:p>
    <w:p w14:paraId="1C5C97FE">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3、结算单位：由</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负责结算，乙方开具合同总价数的全额发票交采购人。</w:t>
      </w:r>
    </w:p>
    <w:p w14:paraId="3A81AB1B">
      <w:pPr>
        <w:adjustRightInd w:val="0"/>
        <w:snapToGrid w:val="0"/>
        <w:spacing w:line="360" w:lineRule="auto"/>
        <w:ind w:firstLine="482" w:firstLineChars="200"/>
        <w:rPr>
          <w:rFonts w:hint="eastAsia" w:ascii="仿宋" w:hAnsi="仿宋" w:eastAsia="仿宋" w:cs="仿宋"/>
          <w:b/>
          <w:bCs/>
          <w:color w:val="auto"/>
          <w:sz w:val="24"/>
          <w:highlight w:val="none"/>
        </w:rPr>
      </w:pPr>
      <w:bookmarkStart w:id="3" w:name="_Toc19515387"/>
      <w:r>
        <w:rPr>
          <w:rFonts w:hint="eastAsia" w:ascii="仿宋" w:hAnsi="仿宋" w:eastAsia="仿宋" w:cs="仿宋"/>
          <w:b/>
          <w:bCs/>
          <w:color w:val="auto"/>
          <w:sz w:val="24"/>
          <w:highlight w:val="none"/>
        </w:rPr>
        <w:t>四、履行期限、地点及方式:</w:t>
      </w:r>
      <w:bookmarkEnd w:id="3"/>
    </w:p>
    <w:p w14:paraId="653625A1">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1、交货期：合同签订后</w:t>
      </w:r>
      <w:r>
        <w:rPr>
          <w:rFonts w:hint="eastAsia" w:ascii="仿宋" w:hAnsi="仿宋" w:eastAsia="仿宋" w:cs="仿宋"/>
          <w:color w:val="auto"/>
          <w:sz w:val="24"/>
          <w:highlight w:val="none"/>
          <w:lang w:val="en-US" w:eastAsia="zh-CN"/>
        </w:rPr>
        <w:t>60</w:t>
      </w:r>
      <w:r>
        <w:rPr>
          <w:rFonts w:hint="eastAsia" w:ascii="仿宋" w:hAnsi="仿宋" w:eastAsia="仿宋" w:cs="仿宋"/>
          <w:color w:val="auto"/>
          <w:sz w:val="24"/>
          <w:highlight w:val="none"/>
        </w:rPr>
        <w:t>日内完成供货，安装调试到位并达到使用要求</w:t>
      </w:r>
    </w:p>
    <w:p w14:paraId="74E1E3E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2、地点：甲方指定地点</w:t>
      </w:r>
    </w:p>
    <w:p w14:paraId="64DAFE2A">
      <w:pPr>
        <w:adjustRightInd w:val="0"/>
        <w:snapToGrid w:val="0"/>
        <w:spacing w:line="360" w:lineRule="auto"/>
        <w:ind w:firstLine="480" w:firstLineChars="200"/>
        <w:rPr>
          <w:rFonts w:hint="default" w:ascii="仿宋" w:hAnsi="仿宋" w:eastAsia="仿宋" w:cs="仿宋"/>
          <w:sz w:val="24"/>
          <w:lang w:val="en-US" w:eastAsia="zh-CN"/>
        </w:rPr>
      </w:pPr>
      <w:r>
        <w:rPr>
          <w:rFonts w:hint="eastAsia" w:ascii="仿宋" w:hAnsi="仿宋" w:eastAsia="仿宋" w:cs="仿宋"/>
          <w:sz w:val="24"/>
        </w:rPr>
        <w:t>3、方式：</w:t>
      </w:r>
      <w:r>
        <w:rPr>
          <w:rFonts w:hint="eastAsia" w:ascii="仿宋" w:hAnsi="仿宋" w:eastAsia="仿宋" w:cs="仿宋"/>
          <w:sz w:val="24"/>
          <w:lang w:val="en-US" w:eastAsia="zh-CN"/>
        </w:rPr>
        <w:t>采购人指定方式</w:t>
      </w:r>
    </w:p>
    <w:p w14:paraId="6A6B45C9">
      <w:pPr>
        <w:adjustRightInd w:val="0"/>
        <w:snapToGrid w:val="0"/>
        <w:spacing w:line="360" w:lineRule="auto"/>
        <w:ind w:firstLine="482" w:firstLineChars="200"/>
        <w:rPr>
          <w:rFonts w:hint="eastAsia" w:ascii="仿宋" w:hAnsi="仿宋" w:eastAsia="仿宋" w:cs="仿宋"/>
          <w:b/>
          <w:bCs/>
          <w:sz w:val="24"/>
        </w:rPr>
      </w:pPr>
      <w:bookmarkStart w:id="4" w:name="_Toc19515388"/>
      <w:r>
        <w:rPr>
          <w:rFonts w:hint="eastAsia" w:ascii="仿宋" w:hAnsi="仿宋" w:eastAsia="仿宋" w:cs="仿宋"/>
          <w:b/>
          <w:bCs/>
          <w:sz w:val="24"/>
        </w:rPr>
        <w:t>五、运输</w:t>
      </w:r>
      <w:bookmarkEnd w:id="4"/>
    </w:p>
    <w:p w14:paraId="62E0D76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1、乙方负责所有货物的运输。确保货物安全、完整到达使用地点，运杂费用包含在总价内，包括货物从供货地点到使用地点的运输费、保险费、搬运费等。</w:t>
      </w:r>
    </w:p>
    <w:p w14:paraId="0579760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2、所有货物在运输、搬运、安装的过程中，造成甲方损失的，由乙方为甲方修复或更新。</w:t>
      </w:r>
    </w:p>
    <w:p w14:paraId="2598F514">
      <w:pPr>
        <w:adjustRightInd w:val="0"/>
        <w:snapToGrid w:val="0"/>
        <w:spacing w:line="360" w:lineRule="auto"/>
        <w:ind w:firstLine="482" w:firstLineChars="200"/>
        <w:rPr>
          <w:rFonts w:hint="eastAsia" w:ascii="仿宋" w:hAnsi="仿宋" w:eastAsia="仿宋" w:cs="仿宋"/>
          <w:b/>
          <w:bCs/>
          <w:sz w:val="24"/>
        </w:rPr>
      </w:pPr>
      <w:bookmarkStart w:id="5" w:name="_Toc19515389"/>
      <w:r>
        <w:rPr>
          <w:rFonts w:hint="eastAsia" w:ascii="仿宋" w:hAnsi="仿宋" w:eastAsia="仿宋" w:cs="仿宋"/>
          <w:b/>
          <w:bCs/>
          <w:sz w:val="24"/>
        </w:rPr>
        <w:t>六、质量保证</w:t>
      </w:r>
      <w:bookmarkEnd w:id="5"/>
    </w:p>
    <w:p w14:paraId="66BAC44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1、乙方提供货物必须是原品牌制造厂制造的最新工艺、生产的最新产品。</w:t>
      </w:r>
    </w:p>
    <w:p w14:paraId="75A0D3A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2、所供货物必须是经过办理正常手续的全新产品。</w:t>
      </w:r>
    </w:p>
    <w:p w14:paraId="2B731F0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3、所供货物是经过国家法定检验、注册、准许市场销售的合法产品。</w:t>
      </w:r>
    </w:p>
    <w:p w14:paraId="6BC2CE5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4、货物性能稳定、具有较好的使用效果，质量保证措施完善，符合国家相关标准。</w:t>
      </w:r>
    </w:p>
    <w:p w14:paraId="0A58936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5、货物的质保期为</w:t>
      </w:r>
      <w:r>
        <w:rPr>
          <w:rFonts w:hint="eastAsia" w:ascii="仿宋" w:hAnsi="仿宋" w:eastAsia="仿宋" w:cs="仿宋"/>
          <w:sz w:val="24"/>
          <w:lang w:val="en-US" w:eastAsia="zh-CN"/>
        </w:rPr>
        <w:t>整机质保3年</w:t>
      </w:r>
      <w:r>
        <w:rPr>
          <w:rFonts w:hint="eastAsia" w:ascii="仿宋" w:hAnsi="仿宋" w:eastAsia="仿宋" w:cs="仿宋"/>
          <w:sz w:val="24"/>
        </w:rPr>
        <w:t>，终身维护保养，质保期后，只收取成本费用。</w:t>
      </w:r>
    </w:p>
    <w:p w14:paraId="232D15E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6、包装要求</w:t>
      </w:r>
    </w:p>
    <w:p w14:paraId="19C6419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6-1、除合同另有规定外，乙方提供的全部货物，均应按标准保护措施进行包装，并确保货物安全无损运抵甲方指定地点。</w:t>
      </w:r>
    </w:p>
    <w:p w14:paraId="315C25D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6-2、每一个包装箱内应附一份详细装箱单。</w:t>
      </w:r>
    </w:p>
    <w:p w14:paraId="3D8F02B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7、乙方应保证甲方在使用该货物或其任何一部分时免受第三方提出侵犯其专利权、商标权或工业设计权的起诉。</w:t>
      </w:r>
    </w:p>
    <w:p w14:paraId="4E3D4F10">
      <w:pPr>
        <w:adjustRightInd w:val="0"/>
        <w:snapToGrid w:val="0"/>
        <w:spacing w:line="360" w:lineRule="auto"/>
        <w:ind w:firstLine="480" w:firstLineChars="200"/>
        <w:rPr>
          <w:rFonts w:hint="eastAsia" w:ascii="仿宋" w:hAnsi="仿宋" w:eastAsia="仿宋" w:cs="仿宋"/>
          <w:sz w:val="24"/>
        </w:rPr>
      </w:pPr>
      <w:bookmarkStart w:id="6" w:name="_Toc19515390"/>
      <w:r>
        <w:rPr>
          <w:rFonts w:hint="eastAsia" w:ascii="仿宋" w:hAnsi="仿宋" w:eastAsia="仿宋" w:cs="仿宋"/>
          <w:sz w:val="24"/>
        </w:rPr>
        <w:t>七、技术服务</w:t>
      </w:r>
      <w:bookmarkEnd w:id="6"/>
    </w:p>
    <w:p w14:paraId="756D2E0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1、对技术服务的要求：</w:t>
      </w:r>
    </w:p>
    <w:p w14:paraId="6C88CB9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2、技术资料：</w:t>
      </w:r>
    </w:p>
    <w:p w14:paraId="32D3118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2-1、产品合格证及检验报告；</w:t>
      </w:r>
    </w:p>
    <w:p w14:paraId="670EE8A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2-2、产品使用说明书（中文）；</w:t>
      </w:r>
    </w:p>
    <w:p w14:paraId="297E958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2-3、中国商品检验局出具的商检合格证明；</w:t>
      </w:r>
    </w:p>
    <w:p w14:paraId="25F1595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2-4、其它资料。</w:t>
      </w:r>
    </w:p>
    <w:p w14:paraId="688C571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3、技术培训：</w:t>
      </w:r>
    </w:p>
    <w:p w14:paraId="25DDF0A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3-1、培训内容：</w:t>
      </w:r>
    </w:p>
    <w:p w14:paraId="102A9E5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3-2、培训地点：</w:t>
      </w:r>
    </w:p>
    <w:p w14:paraId="6D34523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3-3、培训时间：</w:t>
      </w:r>
    </w:p>
    <w:p w14:paraId="2490157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3-4、培训人数：</w:t>
      </w:r>
    </w:p>
    <w:p w14:paraId="0BA96CC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3-5、培训费用：受训人员的食宿费、资料费、培训场地费、耗材（包括水电费等）费等已包含在合同总价中，甲方不再另行支付。</w:t>
      </w:r>
    </w:p>
    <w:p w14:paraId="6C964C5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4、售后服务</w:t>
      </w:r>
    </w:p>
    <w:p w14:paraId="638FFBD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4-1、乙方在接到甲方保修电话故障通知后</w:t>
      </w:r>
      <w:r>
        <w:rPr>
          <w:rFonts w:hint="eastAsia" w:ascii="仿宋" w:hAnsi="仿宋" w:eastAsia="仿宋" w:cs="仿宋"/>
          <w:sz w:val="24"/>
          <w:lang w:eastAsia="zh-CN"/>
        </w:rPr>
        <w:t>在</w:t>
      </w:r>
      <w:r>
        <w:rPr>
          <w:rFonts w:hint="eastAsia" w:ascii="仿宋" w:hAnsi="仿宋" w:eastAsia="仿宋" w:cs="仿宋"/>
          <w:b/>
          <w:bCs/>
          <w:sz w:val="24"/>
          <w:u w:val="single"/>
          <w:lang w:val="en-US" w:eastAsia="zh-CN"/>
        </w:rPr>
        <w:t>7</w:t>
      </w:r>
      <w:r>
        <w:rPr>
          <w:rFonts w:hint="eastAsia" w:ascii="仿宋" w:hAnsi="仿宋" w:eastAsia="仿宋" w:cs="仿宋"/>
          <w:sz w:val="24"/>
          <w:lang w:val="en-US" w:eastAsia="zh-CN"/>
        </w:rPr>
        <w:t>个日历天内进行响应，</w:t>
      </w:r>
      <w:r>
        <w:rPr>
          <w:rFonts w:hint="eastAsia" w:ascii="仿宋" w:hAnsi="仿宋" w:eastAsia="仿宋" w:cs="仿宋"/>
          <w:b/>
          <w:bCs/>
          <w:sz w:val="24"/>
          <w:u w:val="single"/>
        </w:rPr>
        <w:t xml:space="preserve"> </w:t>
      </w:r>
      <w:r>
        <w:rPr>
          <w:rFonts w:hint="eastAsia" w:ascii="仿宋" w:hAnsi="仿宋" w:eastAsia="仿宋" w:cs="仿宋"/>
          <w:b/>
          <w:bCs/>
          <w:sz w:val="24"/>
          <w:u w:val="single"/>
          <w:lang w:val="en-US" w:eastAsia="zh-CN"/>
        </w:rPr>
        <w:t>24</w:t>
      </w:r>
      <w:r>
        <w:rPr>
          <w:rFonts w:hint="eastAsia" w:ascii="仿宋" w:hAnsi="仿宋" w:eastAsia="仿宋" w:cs="仿宋"/>
          <w:sz w:val="24"/>
          <w:u w:val="single"/>
        </w:rPr>
        <w:t xml:space="preserve"> </w:t>
      </w:r>
      <w:r>
        <w:rPr>
          <w:rFonts w:hint="eastAsia" w:ascii="仿宋" w:hAnsi="仿宋" w:eastAsia="仿宋" w:cs="仿宋"/>
          <w:sz w:val="24"/>
        </w:rPr>
        <w:t>小时内派出合格的维修人员到达现场进行维修服务，</w:t>
      </w:r>
      <w:r>
        <w:rPr>
          <w:rFonts w:hint="eastAsia" w:ascii="仿宋" w:hAnsi="仿宋" w:eastAsia="仿宋" w:cs="仿宋"/>
          <w:sz w:val="24"/>
          <w:lang w:eastAsia="zh-CN"/>
        </w:rPr>
        <w:t>到达现场</w:t>
      </w:r>
      <w:r>
        <w:rPr>
          <w:rFonts w:hint="eastAsia" w:ascii="仿宋" w:hAnsi="仿宋" w:eastAsia="仿宋" w:cs="仿宋"/>
          <w:b w:val="0"/>
          <w:bCs w:val="0"/>
          <w:sz w:val="24"/>
          <w:lang w:eastAsia="zh-CN"/>
        </w:rPr>
        <w:t>后</w:t>
      </w:r>
      <w:r>
        <w:rPr>
          <w:rFonts w:hint="eastAsia" w:ascii="仿宋" w:hAnsi="仿宋" w:eastAsia="仿宋" w:cs="仿宋"/>
          <w:b/>
          <w:bCs/>
          <w:sz w:val="24"/>
          <w:u w:val="single"/>
          <w:lang w:val="en-US" w:eastAsia="zh-CN"/>
        </w:rPr>
        <w:t>12</w:t>
      </w:r>
      <w:r>
        <w:rPr>
          <w:rFonts w:hint="eastAsia" w:ascii="仿宋" w:hAnsi="仿宋" w:eastAsia="仿宋" w:cs="仿宋"/>
          <w:sz w:val="24"/>
          <w:lang w:val="en-US" w:eastAsia="zh-CN"/>
        </w:rPr>
        <w:t>小时内排除故障。</w:t>
      </w:r>
      <w:r>
        <w:rPr>
          <w:rFonts w:hint="eastAsia" w:ascii="仿宋" w:hAnsi="仿宋" w:eastAsia="仿宋" w:cs="仿宋"/>
          <w:sz w:val="24"/>
        </w:rPr>
        <w:t>承担相应费用，若需将产品送回生产厂，乙方应提供备用机、承担维修产品所需的往返费用。</w:t>
      </w:r>
    </w:p>
    <w:p w14:paraId="4D137BE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4-2、如果乙方在收到通知后两天内没有弥补缺陷，甲方可采取必要的补救措施，但其风险和费用将由乙方承担，甲方根据合同规定对乙方行使的其它权力不受影响。</w:t>
      </w:r>
    </w:p>
    <w:p w14:paraId="5112069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5、伴随服务</w:t>
      </w:r>
    </w:p>
    <w:p w14:paraId="1F8E11F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5-1、乙方应随同每套货物提供相应的中文的技术文件。</w:t>
      </w:r>
    </w:p>
    <w:p w14:paraId="6F8A614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5-1-1、完整的操作使用手册和维护、修理技术文件，图纸、保修卡等。</w:t>
      </w:r>
    </w:p>
    <w:p w14:paraId="1F09BF5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5-1-2、制造厂的检验、测试报告、检验合格证书，计量合格等级证书，质量保证书等文件须随产品装箱提供。</w:t>
      </w:r>
    </w:p>
    <w:p w14:paraId="0EB4653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5-1-3、必须的其它技术资料。</w:t>
      </w:r>
    </w:p>
    <w:p w14:paraId="4FD7907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5-2、伴随服务的费用已含在合同价中，不单独进行支付。</w:t>
      </w:r>
    </w:p>
    <w:p w14:paraId="685CCE27">
      <w:pPr>
        <w:adjustRightInd w:val="0"/>
        <w:snapToGrid w:val="0"/>
        <w:spacing w:line="360" w:lineRule="auto"/>
        <w:ind w:firstLine="480" w:firstLineChars="200"/>
        <w:rPr>
          <w:rFonts w:hint="eastAsia" w:ascii="仿宋" w:hAnsi="仿宋" w:eastAsia="仿宋" w:cs="仿宋"/>
          <w:sz w:val="24"/>
        </w:rPr>
      </w:pPr>
      <w:bookmarkStart w:id="7" w:name="_Toc19515391"/>
      <w:r>
        <w:rPr>
          <w:rFonts w:hint="eastAsia" w:ascii="仿宋" w:hAnsi="仿宋" w:eastAsia="仿宋" w:cs="仿宋"/>
          <w:sz w:val="24"/>
        </w:rPr>
        <w:t>八、验收</w:t>
      </w:r>
      <w:bookmarkEnd w:id="7"/>
    </w:p>
    <w:p w14:paraId="1E94B57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1、到货验收：货物到货后，由甲方与乙方共同进行外观验收，验收内容包括，外包装的完好性，货物品牌、规格、数量及产地与合同要求的一致性。</w:t>
      </w:r>
    </w:p>
    <w:p w14:paraId="148D265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2、货物运行验收：乙方安装调试合格后，向甲方提出验收申请，甲方接到乙方验收申请后组织验收（必要时可聘请相应专家或委托相应部门验收），验收合格后，出具使用验收合格证明。</w:t>
      </w:r>
    </w:p>
    <w:p w14:paraId="727B4D2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3、最终验收：最终验收结果作为付款依据，乙方填写验收单，并向甲方提交实施过程中的所有资料，以便甲方日后管理和维护。</w:t>
      </w:r>
    </w:p>
    <w:p w14:paraId="1463653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4、质保期满后：由乙方出具质保期运行质量报告，若存在质量问题，应按相应规定协商处理。</w:t>
      </w:r>
    </w:p>
    <w:p w14:paraId="0665D4D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5、验收依据：</w:t>
      </w:r>
    </w:p>
    <w:p w14:paraId="4D1B9B7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5-1、合同文本、合同附件、</w:t>
      </w:r>
      <w:r>
        <w:rPr>
          <w:rFonts w:hint="eastAsia" w:ascii="仿宋" w:hAnsi="仿宋" w:eastAsia="仿宋" w:cs="仿宋"/>
          <w:sz w:val="24"/>
          <w:lang w:val="en-US" w:eastAsia="zh-CN"/>
        </w:rPr>
        <w:t>采购</w:t>
      </w:r>
      <w:r>
        <w:rPr>
          <w:rFonts w:hint="eastAsia" w:ascii="仿宋" w:hAnsi="仿宋" w:eastAsia="仿宋" w:cs="仿宋"/>
          <w:sz w:val="24"/>
        </w:rPr>
        <w:t>文件、</w:t>
      </w:r>
      <w:r>
        <w:rPr>
          <w:rFonts w:hint="eastAsia" w:ascii="仿宋" w:hAnsi="仿宋" w:eastAsia="仿宋" w:cs="仿宋"/>
          <w:sz w:val="24"/>
          <w:lang w:val="en-US" w:eastAsia="zh-CN"/>
        </w:rPr>
        <w:t>响应</w:t>
      </w:r>
      <w:r>
        <w:rPr>
          <w:rFonts w:hint="eastAsia" w:ascii="仿宋" w:hAnsi="仿宋" w:eastAsia="仿宋" w:cs="仿宋"/>
          <w:sz w:val="24"/>
        </w:rPr>
        <w:t>文件。</w:t>
      </w:r>
    </w:p>
    <w:p w14:paraId="14E19E6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5-2、国内相应的标准、规范。</w:t>
      </w:r>
    </w:p>
    <w:p w14:paraId="07321721">
      <w:pPr>
        <w:adjustRightInd w:val="0"/>
        <w:snapToGrid w:val="0"/>
        <w:spacing w:line="360" w:lineRule="auto"/>
        <w:ind w:firstLine="480" w:firstLineChars="200"/>
        <w:rPr>
          <w:rFonts w:hint="eastAsia" w:ascii="仿宋" w:hAnsi="仿宋" w:eastAsia="仿宋" w:cs="仿宋"/>
          <w:sz w:val="24"/>
        </w:rPr>
      </w:pPr>
      <w:bookmarkStart w:id="8" w:name="_Toc19515392"/>
      <w:r>
        <w:rPr>
          <w:rFonts w:hint="eastAsia" w:ascii="仿宋" w:hAnsi="仿宋" w:eastAsia="仿宋" w:cs="仿宋"/>
          <w:sz w:val="24"/>
        </w:rPr>
        <w:t>九、违约责任</w:t>
      </w:r>
      <w:bookmarkEnd w:id="8"/>
    </w:p>
    <w:p w14:paraId="2A85B65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1、按《民法典》中的相关条款执行。</w:t>
      </w:r>
    </w:p>
    <w:p w14:paraId="69C8B0D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699F813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2-1、如乙方事先未征得甲方同意并得到甲方的谅解而单方面延迟交货，将按违约终止合同。</w:t>
      </w:r>
    </w:p>
    <w:p w14:paraId="3F85F27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2C5B7CF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3、违约终止合同：未按合同要求提供货物或质量不能满足技术要求，甲方会同监督机构有权终止合同，对乙方违约行为进行追究，同时按政府采购法的有关规定进行相应的处罚。</w:t>
      </w:r>
    </w:p>
    <w:p w14:paraId="71EB762E">
      <w:pPr>
        <w:adjustRightInd w:val="0"/>
        <w:snapToGrid w:val="0"/>
        <w:spacing w:line="360" w:lineRule="auto"/>
        <w:ind w:firstLine="480" w:firstLineChars="200"/>
        <w:rPr>
          <w:rFonts w:hint="eastAsia" w:ascii="仿宋" w:hAnsi="仿宋" w:eastAsia="仿宋" w:cs="仿宋"/>
          <w:sz w:val="24"/>
        </w:rPr>
      </w:pPr>
      <w:bookmarkStart w:id="9" w:name="_Toc19515393"/>
      <w:r>
        <w:rPr>
          <w:rFonts w:hint="eastAsia" w:ascii="仿宋" w:hAnsi="仿宋" w:eastAsia="仿宋" w:cs="仿宋"/>
          <w:sz w:val="24"/>
        </w:rPr>
        <w:t>十、合同组成</w:t>
      </w:r>
      <w:bookmarkEnd w:id="9"/>
    </w:p>
    <w:p w14:paraId="066881A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val="en-US" w:eastAsia="zh-CN"/>
        </w:rPr>
        <w:t>中标（成交）</w:t>
      </w:r>
      <w:r>
        <w:rPr>
          <w:rFonts w:hint="eastAsia" w:ascii="仿宋" w:hAnsi="仿宋" w:eastAsia="仿宋" w:cs="仿宋"/>
          <w:sz w:val="24"/>
        </w:rPr>
        <w:t>通知书</w:t>
      </w:r>
    </w:p>
    <w:p w14:paraId="604C73B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5CABFE5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67A3439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4、供货产品技术规格及参数表</w:t>
      </w:r>
    </w:p>
    <w:p w14:paraId="5335E71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w:t>
      </w:r>
      <w:r>
        <w:rPr>
          <w:rFonts w:hint="eastAsia" w:ascii="仿宋" w:hAnsi="仿宋" w:eastAsia="仿宋" w:cs="仿宋"/>
          <w:sz w:val="24"/>
          <w:lang w:val="en-US" w:eastAsia="zh-CN"/>
        </w:rPr>
        <w:t>采购</w:t>
      </w:r>
      <w:r>
        <w:rPr>
          <w:rFonts w:hint="eastAsia" w:ascii="仿宋" w:hAnsi="仿宋" w:eastAsia="仿宋" w:cs="仿宋"/>
          <w:sz w:val="24"/>
        </w:rPr>
        <w:t>文件</w:t>
      </w:r>
    </w:p>
    <w:p w14:paraId="09F6CA5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w:t>
      </w:r>
      <w:r>
        <w:rPr>
          <w:rFonts w:hint="eastAsia" w:ascii="仿宋" w:hAnsi="仿宋" w:eastAsia="仿宋" w:cs="仿宋"/>
          <w:sz w:val="24"/>
          <w:lang w:val="en-US" w:eastAsia="zh-CN"/>
        </w:rPr>
        <w:t>响应</w:t>
      </w:r>
      <w:r>
        <w:rPr>
          <w:rFonts w:hint="eastAsia" w:ascii="仿宋" w:hAnsi="仿宋" w:eastAsia="仿宋" w:cs="仿宋"/>
          <w:sz w:val="24"/>
        </w:rPr>
        <w:t>文件</w:t>
      </w:r>
    </w:p>
    <w:p w14:paraId="24C9989C">
      <w:pPr>
        <w:adjustRightInd w:val="0"/>
        <w:snapToGrid w:val="0"/>
        <w:spacing w:line="360" w:lineRule="auto"/>
        <w:ind w:firstLine="480" w:firstLineChars="200"/>
        <w:rPr>
          <w:rFonts w:hint="eastAsia" w:ascii="仿宋" w:hAnsi="仿宋" w:eastAsia="仿宋" w:cs="仿宋"/>
          <w:sz w:val="24"/>
        </w:rPr>
      </w:pPr>
      <w:bookmarkStart w:id="10" w:name="_Toc19515394"/>
      <w:r>
        <w:rPr>
          <w:rFonts w:hint="eastAsia" w:ascii="仿宋" w:hAnsi="仿宋" w:eastAsia="仿宋" w:cs="仿宋"/>
          <w:sz w:val="24"/>
        </w:rPr>
        <w:t>十一、解决争议的方法</w:t>
      </w:r>
      <w:bookmarkEnd w:id="10"/>
    </w:p>
    <w:p w14:paraId="0849BCA2">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  ）种争议解决方式：</w:t>
      </w:r>
    </w:p>
    <w:p w14:paraId="02D04D98">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2DC53631">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（2）、甲、乙双方均同意向（</w:t>
      </w:r>
      <w:r>
        <w:rPr>
          <w:rFonts w:hint="eastAsia" w:ascii="仿宋" w:hAnsi="仿宋" w:eastAsia="仿宋" w:cs="仿宋"/>
          <w:kern w:val="0"/>
          <w:sz w:val="24"/>
        </w:rPr>
        <w:fldChar w:fldCharType="begin"/>
      </w:r>
      <w:r>
        <w:rPr>
          <w:rFonts w:hint="eastAsia" w:ascii="仿宋" w:hAnsi="仿宋" w:eastAsia="仿宋" w:cs="仿宋"/>
          <w:kern w:val="0"/>
          <w:sz w:val="24"/>
        </w:rPr>
        <w:instrText xml:space="preserve"> HYPERLINK "http://www.baidu.com/s?wd=%E4%BB%B2%E8%A3%81%E5%A7%94%E5%91%98%E4%BC%9A&amp;tn=SE_PcZhidaonwhc_ngpagmjz&amp;rsv_dl=gh_pc_zhidao" \t "_blank" </w:instrText>
      </w:r>
      <w:r>
        <w:rPr>
          <w:rFonts w:hint="eastAsia" w:ascii="仿宋" w:hAnsi="仿宋" w:eastAsia="仿宋" w:cs="仿宋"/>
          <w:kern w:val="0"/>
          <w:sz w:val="24"/>
        </w:rP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5723364A">
      <w:pPr>
        <w:adjustRightInd w:val="0"/>
        <w:snapToGrid w:val="0"/>
        <w:spacing w:line="360" w:lineRule="auto"/>
        <w:ind w:firstLine="480" w:firstLineChars="200"/>
        <w:rPr>
          <w:rFonts w:hint="eastAsia" w:ascii="仿宋" w:hAnsi="仿宋" w:eastAsia="仿宋" w:cs="仿宋"/>
          <w:sz w:val="24"/>
        </w:rPr>
      </w:pPr>
      <w:bookmarkStart w:id="11" w:name="_Toc19515395"/>
      <w:r>
        <w:rPr>
          <w:rFonts w:hint="eastAsia" w:ascii="仿宋" w:hAnsi="仿宋" w:eastAsia="仿宋" w:cs="仿宋"/>
          <w:sz w:val="24"/>
        </w:rPr>
        <w:t>十二、合同生效及其它</w:t>
      </w:r>
      <w:bookmarkEnd w:id="11"/>
    </w:p>
    <w:p w14:paraId="6060079A">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515FB91C">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02BDCD07">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33E9A3FC">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   年  月  日</w:t>
      </w:r>
    </w:p>
    <w:p w14:paraId="70954F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tbl>
      <w:tblPr>
        <w:tblStyle w:val="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9"/>
        <w:gridCol w:w="4261"/>
      </w:tblGrid>
      <w:tr w14:paraId="232AE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499" w:type="pct"/>
          </w:tcPr>
          <w:p w14:paraId="25DBAE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甲方名称：（盖章）</w:t>
            </w:r>
          </w:p>
        </w:tc>
        <w:tc>
          <w:tcPr>
            <w:tcW w:w="2500" w:type="pct"/>
          </w:tcPr>
          <w:p w14:paraId="766D09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乙方名称：（盖章）</w:t>
            </w:r>
          </w:p>
        </w:tc>
      </w:tr>
      <w:tr w14:paraId="44C2F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2499" w:type="pct"/>
          </w:tcPr>
          <w:p w14:paraId="0661C45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法定代表人或委托代表人(签字</w:t>
            </w:r>
            <w:r>
              <w:rPr>
                <w:rFonts w:hint="eastAsia" w:ascii="方正仿宋_GB2312" w:hAnsi="方正仿宋_GB2312" w:eastAsia="方正仿宋_GB2312" w:cs="方正仿宋_GB2312"/>
                <w:sz w:val="24"/>
                <w:szCs w:val="24"/>
                <w:lang w:val="en-US" w:eastAsia="zh-CN"/>
              </w:rPr>
              <w:t>或盖章</w:t>
            </w:r>
            <w:r>
              <w:rPr>
                <w:rFonts w:hint="eastAsia" w:ascii="方正仿宋_GB2312" w:hAnsi="方正仿宋_GB2312" w:eastAsia="方正仿宋_GB2312" w:cs="方正仿宋_GB2312"/>
                <w:sz w:val="24"/>
                <w:szCs w:val="24"/>
              </w:rPr>
              <w:t>):</w:t>
            </w:r>
          </w:p>
        </w:tc>
        <w:tc>
          <w:tcPr>
            <w:tcW w:w="2500" w:type="pct"/>
            <w:vAlign w:val="top"/>
          </w:tcPr>
          <w:p w14:paraId="53E551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法定代表人或委托代表人(签字</w:t>
            </w:r>
            <w:r>
              <w:rPr>
                <w:rFonts w:hint="eastAsia" w:ascii="方正仿宋_GB2312" w:hAnsi="方正仿宋_GB2312" w:eastAsia="方正仿宋_GB2312" w:cs="方正仿宋_GB2312"/>
                <w:sz w:val="24"/>
                <w:szCs w:val="24"/>
                <w:lang w:val="en-US" w:eastAsia="zh-CN"/>
              </w:rPr>
              <w:t>或盖章</w:t>
            </w:r>
            <w:r>
              <w:rPr>
                <w:rFonts w:hint="eastAsia" w:ascii="方正仿宋_GB2312" w:hAnsi="方正仿宋_GB2312" w:eastAsia="方正仿宋_GB2312" w:cs="方正仿宋_GB2312"/>
                <w:sz w:val="24"/>
                <w:szCs w:val="24"/>
              </w:rPr>
              <w:t>):</w:t>
            </w:r>
          </w:p>
        </w:tc>
      </w:tr>
      <w:tr w14:paraId="3FD9E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499" w:type="pct"/>
          </w:tcPr>
          <w:p w14:paraId="2722D90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电话：</w:t>
            </w:r>
          </w:p>
        </w:tc>
        <w:tc>
          <w:tcPr>
            <w:tcW w:w="2500" w:type="pct"/>
            <w:vAlign w:val="top"/>
          </w:tcPr>
          <w:p w14:paraId="100DACA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电话：</w:t>
            </w:r>
          </w:p>
        </w:tc>
      </w:tr>
      <w:tr w14:paraId="7E08F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499" w:type="pct"/>
          </w:tcPr>
          <w:p w14:paraId="4C8246D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地址：</w:t>
            </w:r>
          </w:p>
        </w:tc>
        <w:tc>
          <w:tcPr>
            <w:tcW w:w="2500" w:type="pct"/>
            <w:vAlign w:val="top"/>
          </w:tcPr>
          <w:p w14:paraId="5E573B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地址：</w:t>
            </w:r>
          </w:p>
        </w:tc>
      </w:tr>
      <w:tr w14:paraId="70F14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499" w:type="pct"/>
          </w:tcPr>
          <w:p w14:paraId="634EE1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开户行及账号：</w:t>
            </w:r>
          </w:p>
        </w:tc>
        <w:tc>
          <w:tcPr>
            <w:tcW w:w="2500" w:type="pct"/>
            <w:vAlign w:val="top"/>
          </w:tcPr>
          <w:p w14:paraId="1AF7DC9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开户行及账号：</w:t>
            </w:r>
          </w:p>
        </w:tc>
      </w:tr>
      <w:tr w14:paraId="5EBA3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2499" w:type="pct"/>
          </w:tcPr>
          <w:p w14:paraId="107730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日期：</w:t>
            </w:r>
          </w:p>
        </w:tc>
        <w:tc>
          <w:tcPr>
            <w:tcW w:w="2500" w:type="pct"/>
            <w:vAlign w:val="top"/>
          </w:tcPr>
          <w:p w14:paraId="727D78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日期：</w:t>
            </w:r>
          </w:p>
        </w:tc>
      </w:tr>
    </w:tbl>
    <w:p w14:paraId="56374F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7FE934B0-9BF9-4B6F-993E-5A981BD20A43}"/>
  </w:font>
  <w:font w:name="方正仿宋_GB2312">
    <w:panose1 w:val="02000000000000000000"/>
    <w:charset w:val="86"/>
    <w:family w:val="auto"/>
    <w:pitch w:val="default"/>
    <w:sig w:usb0="A00002BF" w:usb1="184F6CFA" w:usb2="00000012" w:usb3="00000000" w:csb0="00040001" w:csb1="00000000"/>
    <w:embedRegular r:id="rId2" w:fontKey="{4148A155-2DA8-460B-B271-F2DD9F528E7E}"/>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B002A">
    <w:pPr>
      <w:pBdr>
        <w:bottom w:val="none" w:color="auto" w:sz="0" w:space="0"/>
      </w:pBdr>
      <w:spacing w:line="186" w:lineRule="auto"/>
      <w:jc w:val="right"/>
      <w:rPr>
        <w:rFonts w:ascii="Times New Roman" w:hAnsi="Times New Roman" w:eastAsia="Times New Roman" w:cs="Times New Roman"/>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2CF91B"/>
    <w:multiLevelType w:val="singleLevel"/>
    <w:tmpl w:val="5A2CF91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MTg3N2Y0NGJmN2I5ZGFmZDhjNjlmZGM2ZDJkN2UifQ=="/>
  </w:docVars>
  <w:rsids>
    <w:rsidRoot w:val="00000000"/>
    <w:rsid w:val="0BC96FF0"/>
    <w:rsid w:val="33D47F63"/>
    <w:rsid w:val="3F0D1DF1"/>
    <w:rsid w:val="45AF27D7"/>
    <w:rsid w:val="463621BB"/>
    <w:rsid w:val="511850FF"/>
    <w:rsid w:val="534744A7"/>
    <w:rsid w:val="538B5213"/>
    <w:rsid w:val="5723000C"/>
    <w:rsid w:val="6335152A"/>
    <w:rsid w:val="6C2E6D38"/>
    <w:rsid w:val="6EAE500F"/>
    <w:rsid w:val="7BE66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rPr>
      <w:rFonts w:ascii="Arial" w:hAnsi="Arial" w:eastAsia="Arial" w:cs="Arial"/>
      <w:sz w:val="21"/>
      <w:szCs w:val="21"/>
      <w:lang w:val="en-US" w:eastAsia="en-US" w:bidi="ar-SA"/>
    </w:rPr>
  </w:style>
  <w:style w:type="paragraph" w:styleId="3">
    <w:name w:val="Body Text Indent"/>
    <w:basedOn w:val="1"/>
    <w:next w:val="1"/>
    <w:qFormat/>
    <w:uiPriority w:val="0"/>
    <w:pPr>
      <w:spacing w:after="120"/>
      <w:ind w:left="420" w:leftChars="200"/>
    </w:pPr>
    <w:rPr>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Body Text First Indent"/>
    <w:basedOn w:val="2"/>
    <w:qFormat/>
    <w:uiPriority w:val="0"/>
    <w:pPr>
      <w:tabs>
        <w:tab w:val="left" w:pos="567"/>
      </w:tabs>
      <w:spacing w:after="120" w:line="240" w:lineRule="auto"/>
      <w:ind w:firstLine="100" w:firstLineChars="1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Table Text"/>
    <w:basedOn w:val="1"/>
    <w:semiHidden/>
    <w:qFormat/>
    <w:uiPriority w:val="0"/>
    <w:rPr>
      <w:rFonts w:ascii="宋体" w:hAnsi="宋体" w:eastAsia="宋体" w:cs="宋体"/>
      <w:sz w:val="19"/>
      <w:szCs w:val="19"/>
      <w:lang w:val="en-US" w:eastAsia="en-US" w:bidi="ar-SA"/>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2180</Words>
  <Characters>2246</Characters>
  <Lines>0</Lines>
  <Paragraphs>0</Paragraphs>
  <TotalTime>2</TotalTime>
  <ScaleCrop>false</ScaleCrop>
  <LinksUpToDate>false</LinksUpToDate>
  <CharactersWithSpaces>2320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2024-06-27T10:14:00Z</dcterms:created>
  <dc:creator>Admin</dc:creator>
  <cp:lastModifiedBy>WPS_1633180969</cp:lastModifiedBy>
  <dcterms:modified xsi:type="dcterms:W3CDTF">2024-08-30T12:30:35Z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04B66F14BC4849199CB7D223314F677E_13</vt:lpwstr>
  </property>
</Properties>
</file>