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版本号：241024001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西安浐灞国际港新能源环卫车辆租赁项目（第二批次）</w:t>
      </w:r>
    </w:p>
    <w:p>
      <w:pPr>
        <w:pStyle w:val="null3"/>
        <w:jc w:val="center"/>
        <w:outlineLvl w:val="2"/>
      </w:pPr>
      <w:r>
        <w:rPr>
          <w:sz w:val="28"/>
          <w:b/>
        </w:rPr>
        <w:t>采购项目编号：</w:t>
      </w:r>
      <w:r>
        <w:rPr>
          <w:sz w:val="28"/>
          <w:b/>
        </w:rPr>
        <w:t>GWZC-2024-166、XBZB-2024-137</w:t>
      </w:r>
      <w:r>
        <w:br/>
      </w:r>
      <w:r>
        <w:br/>
      </w:r>
      <w:r>
        <w:br/>
      </w:r>
    </w:p>
    <w:p>
      <w:pPr>
        <w:pStyle w:val="null3"/>
        <w:jc w:val="center"/>
        <w:outlineLvl w:val="2"/>
      </w:pPr>
      <w:r>
        <w:rPr>
          <w:sz w:val="28"/>
          <w:b/>
        </w:rPr>
        <w:t>西安浐灞国际港城市管理和综合执法局</w:t>
      </w:r>
    </w:p>
    <w:p>
      <w:pPr>
        <w:pStyle w:val="null3"/>
        <w:jc w:val="center"/>
        <w:outlineLvl w:val="2"/>
      </w:pPr>
      <w:r>
        <w:rPr>
          <w:sz w:val="28"/>
          <w:b/>
        </w:rPr>
        <w:t>西北国际（陕西）造价管理集团有限公司</w:t>
      </w:r>
      <w:r>
        <w:rPr>
          <w:sz w:val="28"/>
          <w:b/>
        </w:rPr>
        <w:t>共同编制</w:t>
      </w:r>
    </w:p>
    <w:p>
      <w:pPr>
        <w:pStyle w:val="null3"/>
        <w:jc w:val="center"/>
        <w:outlineLvl w:val="2"/>
      </w:pPr>
      <w:r>
        <w:rPr>
          <w:sz w:val="28"/>
          <w:b/>
        </w:rPr>
        <w:t>2024年10月24日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西北国际（陕西）造价管理集团有限公司</w:t>
      </w:r>
      <w:r>
        <w:rPr/>
        <w:t>（以下简称“代理机构”）受</w:t>
      </w:r>
      <w:r>
        <w:rPr/>
        <w:t>西安浐灞国际港城市管理和综合执法局</w:t>
      </w:r>
      <w:r>
        <w:rPr/>
        <w:t>委托，拟对</w:t>
      </w:r>
      <w:r>
        <w:rPr/>
        <w:t>西安浐灞国际港新能源环卫车辆租赁项目（第二批次）</w:t>
      </w:r>
      <w:r>
        <w:rPr/>
        <w:t>采用竞争性磋商采购方式进行采购，兹邀请供应商参加本项目的竞争性磋商。</w:t>
      </w:r>
    </w:p>
    <w:p>
      <w:pPr>
        <w:pStyle w:val="null3"/>
        <w:outlineLvl w:val="2"/>
      </w:pPr>
      <w:r>
        <w:rPr>
          <w:sz w:val="28"/>
          <w:b/>
        </w:rPr>
        <w:t>一、项目编号：</w:t>
      </w:r>
      <w:r>
        <w:rPr>
          <w:sz w:val="28"/>
          <w:b/>
        </w:rPr>
        <w:t>GWZC-2024-166、XBZB-2024-137</w:t>
      </w:r>
    </w:p>
    <w:p>
      <w:pPr>
        <w:pStyle w:val="null3"/>
        <w:outlineLvl w:val="2"/>
      </w:pPr>
      <w:r>
        <w:rPr>
          <w:sz w:val="28"/>
          <w:b/>
        </w:rPr>
        <w:t>二、项目名称：</w:t>
      </w:r>
      <w:r>
        <w:rPr>
          <w:sz w:val="28"/>
          <w:b/>
        </w:rPr>
        <w:t>西安浐灞国际港新能源环卫车辆租赁项目（第二批次）</w:t>
      </w:r>
    </w:p>
    <w:p>
      <w:pPr>
        <w:pStyle w:val="null3"/>
        <w:outlineLvl w:val="2"/>
      </w:pPr>
      <w:r>
        <w:rPr>
          <w:sz w:val="28"/>
          <w:b/>
        </w:rPr>
        <w:t>三、磋商项目简介</w:t>
      </w:r>
    </w:p>
    <w:p>
      <w:pPr>
        <w:pStyle w:val="null3"/>
        <w:ind w:firstLine="480"/>
      </w:pPr>
      <w:r>
        <w:rPr/>
        <w:t>西安浐灞国际港新能源环卫车辆租赁项目（第二批次）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采购包1（西安浐灞国际港新能源环卫车辆租赁项目（第二批次））：属于专门面向中小企业采购。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1、法定代表人授权书：法定代表人授权书（附法定代表人、被授权人身份证复印件；法定代表人直接参加投标，须提供法定代表人身份证明）</w:t>
      </w:r>
    </w:p>
    <w:p>
      <w:pPr>
        <w:pStyle w:val="null3"/>
      </w:pPr>
      <w:r>
        <w:rPr/>
        <w:t>2、信用记录：供应商未被“信用中国”网站（www.creditchina.gov.cn）列入失信被执行人和重大税收违法失信主体，未被中国政府采购网（www.ccgp.gov.cn）列入政府采购严重违法失信行为记录名单；（以现场信用记录查询结果为准）</w:t>
      </w:r>
    </w:p>
    <w:p>
      <w:pPr>
        <w:pStyle w:val="null3"/>
      </w:pPr>
      <w:r>
        <w:rPr/>
        <w:t>3、非联合体：本项目不接受联合体磋商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西安浐灞国际港城市管理和综合执法局</w:t>
      </w:r>
    </w:p>
    <w:p>
      <w:pPr>
        <w:pStyle w:val="null3"/>
      </w:pPr>
      <w:r>
        <w:rPr/>
        <w:t xml:space="preserve"> 地址： </w:t>
      </w:r>
      <w:r>
        <w:rPr/>
        <w:t>陕西省西安市新筑街道港务大道89号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029-88063100</w:t>
      </w:r>
    </w:p>
    <w:p>
      <w:pPr>
        <w:pStyle w:val="null3"/>
        <w:outlineLvl w:val="3"/>
      </w:pPr>
      <w:r>
        <w:rPr>
          <w:sz w:val="24"/>
          <w:b/>
        </w:rPr>
        <w:t>代理机构：</w:t>
      </w:r>
      <w:r>
        <w:rPr>
          <w:sz w:val="24"/>
          <w:b/>
        </w:rPr>
        <w:t>西北国际（陕西）造价管理集团有限公司</w:t>
      </w:r>
    </w:p>
    <w:p>
      <w:pPr>
        <w:pStyle w:val="null3"/>
      </w:pPr>
      <w:r>
        <w:rPr/>
        <w:t xml:space="preserve"> 地址： </w:t>
      </w:r>
      <w:r>
        <w:rPr/>
        <w:t>陕西省西安市碑林区长安国际中心F座17层</w:t>
      </w:r>
    </w:p>
    <w:p>
      <w:pPr>
        <w:pStyle w:val="null3"/>
      </w:pPr>
      <w:r>
        <w:rPr/>
        <w:t xml:space="preserve"> 邮编： </w:t>
      </w:r>
      <w:r>
        <w:rPr/>
        <w:t>710000</w:t>
      </w:r>
    </w:p>
    <w:p>
      <w:pPr>
        <w:pStyle w:val="null3"/>
      </w:pPr>
      <w:r>
        <w:rPr/>
        <w:t xml:space="preserve"> 联系人： </w:t>
      </w:r>
      <w:r>
        <w:rPr/>
        <w:t>王富敏、张戈</w:t>
      </w:r>
    </w:p>
    <w:p>
      <w:pPr>
        <w:pStyle w:val="null3"/>
      </w:pPr>
      <w:r>
        <w:rPr/>
        <w:t xml:space="preserve"> 联系电话： </w:t>
      </w:r>
      <w:r>
        <w:rPr/>
        <w:t>029-85221302/13572926183</w:t>
      </w:r>
    </w:p>
    <w:p>
      <w:pPr>
        <w:pStyle w:val="null3"/>
        <w:outlineLvl w:val="3"/>
      </w:pPr>
      <w:r>
        <w:rPr>
          <w:sz w:val="24"/>
          <w:b/>
        </w:rPr>
        <w:t>采购监督机构：</w:t>
      </w:r>
      <w:r>
        <w:rPr>
          <w:sz w:val="24"/>
          <w:b/>
        </w:rPr>
        <w:t>西安浐灞国际港财政金融局</w:t>
      </w:r>
    </w:p>
    <w:p>
      <w:pPr>
        <w:pStyle w:val="null3"/>
        <w:ind w:firstLine="480"/>
      </w:pPr>
      <w:r>
        <w:rPr/>
        <w:t>联系人：</w:t>
      </w:r>
      <w:r>
        <w:rPr/>
        <w:t>袁老师</w:t>
      </w:r>
    </w:p>
    <w:p>
      <w:pPr>
        <w:pStyle w:val="null3"/>
        <w:ind w:firstLine="480"/>
      </w:pPr>
      <w:r>
        <w:rPr/>
        <w:t>联系电话：</w:t>
      </w:r>
      <w:r>
        <w:rPr/>
        <w:t>029-83521198</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采购包1：1,937,400.00元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金额参照《招标代理服务收费管理暂行办法》计价格[2002]1980号文、《国家发展改革委关于降低部分建设项目收费标准规范收费行为等有关问题的通知》发改价格[2011]534号文，以预算金额为基数,按服务类标准计取，不足6000元的，按6000元收取。成交供应商须在领取《成交通知书》之前，向采购代理机构一次付清招标代理服务费。 户名：西北国际（陕西）造价管理集团有限公司 开户行：招商银行股份有限公司西安雁塔路支行 账号：129912898210301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西安浐灞国际港城市管理和综合执法局</w:t>
      </w:r>
      <w:r>
        <w:rPr/>
        <w:t>和</w:t>
      </w:r>
      <w:r>
        <w:rPr/>
        <w:t>西北国际（陕西）造价管理集团有限公司</w:t>
      </w:r>
      <w:r>
        <w:rPr/>
        <w:t>享有。对磋商文件中供应商参加本次政府采购活动应当具备的条件，磋商项目技术、服务、商务及其他要求，评审细则及标准由</w:t>
      </w:r>
      <w:r>
        <w:rPr/>
        <w:t>西安浐灞国际港城市管理和综合执法局</w:t>
      </w:r>
      <w:r>
        <w:rPr/>
        <w:t>负责解释。除上述磋商文件内容，其他内容由</w:t>
      </w:r>
      <w:r>
        <w:rPr/>
        <w:t>西北国际（陕西）造价管理集团有限公司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西安浐灞国际港城市管理和综合执法局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西北国际（陕西）造价管理集团有限公司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以合同约定为准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西北国际（陕西）造价管理集团有限公司</w:t>
      </w:r>
      <w:r>
        <w:rPr/>
        <w:t xml:space="preserve"> 负责答复；供应商对除采购需求外的采购文件的询问、质疑由</w:t>
      </w:r>
      <w:r>
        <w:rPr/>
        <w:t>西北国际（陕西）造价管理集团有限公司</w:t>
      </w:r>
      <w:r>
        <w:rPr/>
        <w:t xml:space="preserve"> 负责答复；供应商对采购过程、采购结果的询问、质疑由 </w:t>
      </w:r>
      <w:r>
        <w:rPr/>
        <w:t>西北国际（陕西）造价管理集团有限公司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联系人：王富敏、张戈</w:t>
      </w:r>
    </w:p>
    <w:p>
      <w:pPr>
        <w:pStyle w:val="null3"/>
      </w:pPr>
      <w:r>
        <w:rPr/>
        <w:t>联系电话：029-85221302/13572926183</w:t>
      </w:r>
    </w:p>
    <w:p>
      <w:pPr>
        <w:pStyle w:val="null3"/>
      </w:pPr>
      <w:r>
        <w:rPr/>
        <w:t>地址：陕西省西安市碑林区长安国际中心F座17层</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西安浐灞国际港新能源环卫车辆租赁项目（第二批次）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1,937,400.00</w:t>
      </w:r>
    </w:p>
    <w:p>
      <w:pPr>
        <w:pStyle w:val="null3"/>
      </w:pPr>
      <w:r>
        <w:rPr/>
        <w:t>采购包最高限价（元）: 1,937,400.00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环卫车辆租赁服务</w:t>
            </w:r>
          </w:p>
        </w:tc>
        <w:tc>
          <w:tcPr>
            <w:tcW w:type="dxa" w:w="831"/>
          </w:tcPr>
          <w:p>
            <w:pPr>
              <w:pStyle w:val="null3"/>
              <w:jc w:val="right"/>
            </w:pPr>
            <w:r>
              <w:rPr/>
              <w:t>1.00</w:t>
            </w:r>
          </w:p>
        </w:tc>
        <w:tc>
          <w:tcPr>
            <w:tcW w:type="dxa" w:w="831"/>
          </w:tcPr>
          <w:p>
            <w:pPr>
              <w:pStyle w:val="null3"/>
              <w:jc w:val="right"/>
            </w:pPr>
            <w:r>
              <w:rPr/>
              <w:t>1,937,400.00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标的名称：环卫车辆租赁服务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22"/>
              <w:jc w:val="both"/>
            </w:pPr>
            <w:r>
              <w:rPr>
                <w:rFonts w:ascii="verdana" w:hAnsi="verdana" w:cs="verdana" w:eastAsia="verdana"/>
                <w:sz w:val="18"/>
                <w:b/>
              </w:rPr>
              <w:t>一、项目概况</w:t>
            </w:r>
          </w:p>
          <w:p>
            <w:pPr>
              <w:pStyle w:val="null3"/>
              <w:jc w:val="both"/>
            </w:pPr>
            <w:r>
              <w:rPr>
                <w:rFonts w:ascii="verdana" w:hAnsi="verdana" w:cs="verdana" w:eastAsia="verdana"/>
                <w:sz w:val="18"/>
              </w:rPr>
              <w:t>按照市委、市政府《2024年全市“八个新突破”实施方案》、西安市城市管理和综合执法局《关于下达新能源环卫保洁车辆新增任务的通知》要求，为落实道路清扫保洁作业，提升机械化清扫率及加大道路扬尘治理，结合浐灞国际港道路清扫保洁工作实际情况，租赁一批新能源环卫车辆。</w:t>
            </w:r>
          </w:p>
        </w:tc>
      </w:tr>
      <w:tr>
        <w:tc>
          <w:tcPr>
            <w:tcW w:type="dxa" w:w="2769"/>
          </w:tcPr>
          <w:p/>
        </w:tc>
        <w:tc>
          <w:tcPr>
            <w:tcW w:type="dxa" w:w="2769"/>
          </w:tcPr>
          <w:p>
            <w:pPr>
              <w:pStyle w:val="null3"/>
            </w:pPr>
            <w:r>
              <w:rPr/>
              <w:t>2</w:t>
            </w:r>
          </w:p>
        </w:tc>
        <w:tc>
          <w:tcPr>
            <w:tcW w:type="dxa" w:w="2769"/>
          </w:tcPr>
          <w:p>
            <w:pPr>
              <w:pStyle w:val="null3"/>
              <w:ind w:firstLine="480"/>
              <w:jc w:val="both"/>
            </w:pPr>
            <w:r>
              <w:rPr>
                <w:rFonts w:ascii="verdana" w:hAnsi="verdana" w:cs="verdana" w:eastAsia="verdana"/>
                <w:sz w:val="18"/>
                <w:b/>
              </w:rPr>
              <w:t>二、服务内容及技术要求</w:t>
            </w:r>
          </w:p>
          <w:p>
            <w:pPr>
              <w:pStyle w:val="null3"/>
              <w:ind w:firstLine="420"/>
              <w:jc w:val="both"/>
            </w:pPr>
            <w:r>
              <w:rPr>
                <w:rFonts w:ascii="verdana" w:hAnsi="verdana" w:cs="verdana" w:eastAsia="verdana"/>
                <w:sz w:val="18"/>
              </w:rPr>
              <w:t>租赁车辆要求：</w:t>
            </w:r>
          </w:p>
          <w:p>
            <w:pPr>
              <w:pStyle w:val="null3"/>
              <w:ind w:firstLine="422"/>
              <w:jc w:val="both"/>
            </w:pPr>
            <w:r>
              <w:rPr>
                <w:rFonts w:ascii="verdana" w:hAnsi="verdana" w:cs="verdana" w:eastAsia="verdana"/>
                <w:sz w:val="18"/>
                <w:b/>
              </w:rPr>
              <w:t>第一项：18吨纯电动洗扫车技术要求（2台）</w:t>
            </w:r>
          </w:p>
          <w:p>
            <w:pPr>
              <w:pStyle w:val="null3"/>
              <w:ind w:firstLine="420"/>
              <w:jc w:val="both"/>
            </w:pPr>
            <w:r>
              <w:rPr>
                <w:rFonts w:ascii="verdana" w:hAnsi="verdana" w:cs="verdana" w:eastAsia="verdana"/>
                <w:sz w:val="18"/>
              </w:rPr>
              <w:t>（一）租赁车辆主要参数要求：</w:t>
            </w:r>
          </w:p>
          <w:p>
            <w:pPr>
              <w:pStyle w:val="null3"/>
              <w:ind w:firstLine="420"/>
              <w:jc w:val="both"/>
            </w:pPr>
            <w:r>
              <w:rPr>
                <w:rFonts w:ascii="verdana" w:hAnsi="verdana" w:cs="verdana" w:eastAsia="verdana"/>
                <w:sz w:val="18"/>
              </w:rPr>
              <w:t>1.电池总电量：≥280 kwh；</w:t>
            </w:r>
          </w:p>
          <w:p>
            <w:pPr>
              <w:pStyle w:val="null3"/>
              <w:ind w:firstLine="420"/>
              <w:jc w:val="both"/>
            </w:pPr>
            <w:r>
              <w:rPr>
                <w:rFonts w:ascii="verdana" w:hAnsi="verdana" w:cs="verdana" w:eastAsia="verdana"/>
                <w:sz w:val="18"/>
              </w:rPr>
              <w:t>2.电池能量密度：≥155 w.h/kg；</w:t>
            </w:r>
          </w:p>
          <w:p>
            <w:pPr>
              <w:pStyle w:val="null3"/>
              <w:ind w:firstLine="420"/>
              <w:jc w:val="both"/>
            </w:pPr>
            <w:r>
              <w:rPr>
                <w:rFonts w:ascii="verdana" w:hAnsi="verdana" w:cs="verdana" w:eastAsia="verdana"/>
                <w:sz w:val="18"/>
              </w:rPr>
              <w:t>3.底盘电机峰值功率：≥160 kw；</w:t>
            </w:r>
          </w:p>
          <w:p>
            <w:pPr>
              <w:pStyle w:val="null3"/>
              <w:ind w:firstLine="420"/>
              <w:jc w:val="both"/>
            </w:pPr>
            <w:r>
              <w:rPr>
                <w:rFonts w:ascii="verdana" w:hAnsi="verdana" w:cs="verdana" w:eastAsia="verdana"/>
                <w:sz w:val="18"/>
              </w:rPr>
              <w:t>4.外形尺寸：长≥8900㎜；宽≥2500㎜；高≥3200㎜；</w:t>
            </w:r>
          </w:p>
          <w:p>
            <w:pPr>
              <w:pStyle w:val="null3"/>
              <w:ind w:firstLine="420"/>
              <w:jc w:val="both"/>
            </w:pPr>
            <w:r>
              <w:rPr>
                <w:rFonts w:ascii="verdana" w:hAnsi="verdana" w:cs="verdana" w:eastAsia="verdana"/>
                <w:sz w:val="18"/>
              </w:rPr>
              <w:t>5.总质量：≥18000 ㎏；</w:t>
            </w:r>
          </w:p>
          <w:p>
            <w:pPr>
              <w:pStyle w:val="null3"/>
              <w:ind w:firstLine="420"/>
              <w:jc w:val="both"/>
            </w:pPr>
            <w:r>
              <w:rPr>
                <w:rFonts w:ascii="verdana" w:hAnsi="verdana" w:cs="verdana" w:eastAsia="verdana"/>
                <w:sz w:val="18"/>
              </w:rPr>
              <w:t>6.额定载质量：≥5000㎏；</w:t>
            </w:r>
          </w:p>
          <w:p>
            <w:pPr>
              <w:pStyle w:val="null3"/>
              <w:ind w:firstLine="420"/>
              <w:jc w:val="both"/>
            </w:pPr>
            <w:r>
              <w:rPr>
                <w:rFonts w:ascii="verdana" w:hAnsi="verdana" w:cs="verdana" w:eastAsia="verdana"/>
                <w:sz w:val="18"/>
              </w:rPr>
              <w:t>7.接近角/离去角：≥20°/10°；</w:t>
            </w:r>
          </w:p>
          <w:p>
            <w:pPr>
              <w:pStyle w:val="null3"/>
              <w:ind w:firstLine="420"/>
              <w:jc w:val="both"/>
            </w:pPr>
            <w:r>
              <w:rPr>
                <w:rFonts w:ascii="verdana" w:hAnsi="verdana" w:cs="verdana" w:eastAsia="verdana"/>
                <w:sz w:val="18"/>
              </w:rPr>
              <w:t>8.前悬/后悬：≥1300/2000 mm；</w:t>
            </w:r>
          </w:p>
          <w:p>
            <w:pPr>
              <w:pStyle w:val="null3"/>
              <w:ind w:firstLine="420"/>
              <w:jc w:val="both"/>
            </w:pPr>
            <w:r>
              <w:rPr>
                <w:rFonts w:ascii="verdana" w:hAnsi="verdana" w:cs="verdana" w:eastAsia="verdana"/>
                <w:sz w:val="18"/>
              </w:rPr>
              <w:t>9.清水箱容积:≥8 m³；</w:t>
            </w:r>
          </w:p>
          <w:p>
            <w:pPr>
              <w:pStyle w:val="null3"/>
              <w:ind w:firstLine="420"/>
              <w:jc w:val="both"/>
            </w:pPr>
            <w:r>
              <w:rPr>
                <w:rFonts w:ascii="verdana" w:hAnsi="verdana" w:cs="verdana" w:eastAsia="verdana"/>
                <w:sz w:val="18"/>
              </w:rPr>
              <w:t>10.垃圾箱容积:≥8 m³；</w:t>
            </w:r>
          </w:p>
          <w:p>
            <w:pPr>
              <w:pStyle w:val="null3"/>
              <w:ind w:firstLine="420"/>
              <w:jc w:val="both"/>
            </w:pPr>
            <w:r>
              <w:rPr>
                <w:rFonts w:ascii="verdana" w:hAnsi="verdana" w:cs="verdana" w:eastAsia="verdana"/>
                <w:sz w:val="18"/>
              </w:rPr>
              <w:t>11.最小转弯直径：≤20 m；</w:t>
            </w:r>
          </w:p>
          <w:p>
            <w:pPr>
              <w:pStyle w:val="null3"/>
              <w:ind w:firstLine="420"/>
              <w:jc w:val="both"/>
            </w:pPr>
            <w:r>
              <w:rPr>
                <w:rFonts w:ascii="verdana" w:hAnsi="verdana" w:cs="verdana" w:eastAsia="verdana"/>
                <w:sz w:val="18"/>
              </w:rPr>
              <w:t>12.轴距：≥5300mm</w:t>
            </w:r>
          </w:p>
          <w:p>
            <w:pPr>
              <w:pStyle w:val="null3"/>
              <w:ind w:firstLine="420"/>
              <w:jc w:val="both"/>
            </w:pPr>
            <w:r>
              <w:rPr>
                <w:rFonts w:ascii="verdana" w:hAnsi="verdana" w:cs="verdana" w:eastAsia="verdana"/>
                <w:sz w:val="18"/>
              </w:rPr>
              <w:t>13.最大洗扫宽度：≥3.5m</w:t>
            </w:r>
          </w:p>
          <w:p>
            <w:pPr>
              <w:pStyle w:val="null3"/>
              <w:ind w:firstLine="420"/>
              <w:jc w:val="both"/>
            </w:pPr>
            <w:r>
              <w:rPr>
                <w:rFonts w:ascii="verdana" w:hAnsi="verdana" w:cs="verdana" w:eastAsia="verdana"/>
                <w:sz w:val="18"/>
              </w:rPr>
              <w:t>14.吸嘴总宽度：≥2400mm</w:t>
            </w:r>
          </w:p>
          <w:p>
            <w:pPr>
              <w:pStyle w:val="null3"/>
              <w:ind w:firstLine="420"/>
              <w:jc w:val="both"/>
            </w:pPr>
            <w:r>
              <w:rPr>
                <w:rFonts w:ascii="verdana" w:hAnsi="verdana" w:cs="verdana" w:eastAsia="verdana"/>
                <w:sz w:val="18"/>
              </w:rPr>
              <w:t>（二）主要性能参数：</w:t>
            </w:r>
          </w:p>
          <w:p>
            <w:pPr>
              <w:pStyle w:val="null3"/>
              <w:ind w:firstLine="420"/>
              <w:jc w:val="both"/>
            </w:pPr>
            <w:r>
              <w:rPr>
                <w:rFonts w:ascii="verdana" w:hAnsi="verdana" w:cs="verdana" w:eastAsia="verdana"/>
                <w:sz w:val="18"/>
              </w:rPr>
              <w:t>1.电池防护等级不小于IP68，控制器防护等级不小于IP68。</w:t>
            </w:r>
          </w:p>
          <w:p>
            <w:pPr>
              <w:pStyle w:val="null3"/>
              <w:ind w:firstLine="420"/>
              <w:jc w:val="both"/>
            </w:pPr>
            <w:r>
              <w:rPr>
                <w:rFonts w:ascii="verdana" w:hAnsi="verdana" w:cs="verdana" w:eastAsia="verdana"/>
                <w:sz w:val="18"/>
              </w:rPr>
              <w:t>2.电池包采用高强度合金框架结构，有效保护电池安全。</w:t>
            </w:r>
          </w:p>
          <w:p>
            <w:pPr>
              <w:pStyle w:val="null3"/>
              <w:ind w:firstLine="420"/>
              <w:jc w:val="both"/>
            </w:pPr>
            <w:r>
              <w:rPr>
                <w:rFonts w:ascii="verdana" w:hAnsi="verdana" w:cs="verdana" w:eastAsia="verdana"/>
                <w:sz w:val="18"/>
              </w:rPr>
              <w:t>3.车辆清扫系统采用“中置两立扫＋中置宽吸嘴＋吸嘴内置高压中喷杆＋中置高压侧喷杆”专利技术结构，并将左.右侧喷杆与吸嘴整合在一起，高压喷杆采用管夹及盖板固定。</w:t>
            </w:r>
          </w:p>
          <w:p>
            <w:pPr>
              <w:pStyle w:val="null3"/>
              <w:ind w:firstLine="420"/>
              <w:jc w:val="both"/>
            </w:pPr>
            <w:r>
              <w:rPr>
                <w:rFonts w:ascii="verdana" w:hAnsi="verdana" w:cs="verdana" w:eastAsia="verdana"/>
                <w:sz w:val="18"/>
              </w:rPr>
              <w:t>4.高压水路系统中设有卸荷阀.安全阀多重保护；中控阀组上装有压力表，对水压进行监控；高压水泵进水口前设有过滤器。</w:t>
            </w:r>
          </w:p>
          <w:p>
            <w:pPr>
              <w:pStyle w:val="null3"/>
              <w:ind w:firstLine="420"/>
              <w:jc w:val="both"/>
            </w:pPr>
            <w:r>
              <w:rPr>
                <w:rFonts w:ascii="verdana" w:hAnsi="verdana" w:cs="verdana" w:eastAsia="verdana"/>
                <w:sz w:val="18"/>
              </w:rPr>
              <w:t>5.清水箱设置低水位传感器，垃圾箱设置高水位传感器，驾驶室内有语音报警，提示水位情况。</w:t>
            </w:r>
          </w:p>
          <w:p>
            <w:pPr>
              <w:pStyle w:val="null3"/>
              <w:ind w:firstLine="420"/>
              <w:jc w:val="both"/>
            </w:pPr>
            <w:r>
              <w:rPr>
                <w:rFonts w:ascii="verdana" w:hAnsi="verdana" w:cs="verdana" w:eastAsia="verdana"/>
                <w:sz w:val="18"/>
              </w:rPr>
              <w:t>6.垃圾箱设高压自洁装置。</w:t>
            </w:r>
          </w:p>
          <w:p>
            <w:pPr>
              <w:pStyle w:val="null3"/>
              <w:ind w:firstLine="420"/>
              <w:jc w:val="both"/>
            </w:pPr>
            <w:r>
              <w:rPr>
                <w:rFonts w:ascii="verdana" w:hAnsi="verdana" w:cs="verdana" w:eastAsia="verdana"/>
                <w:sz w:val="18"/>
              </w:rPr>
              <w:t>7.风机采用铝合金壳体，高强度钢叶片，效率达70%以上。</w:t>
            </w:r>
          </w:p>
          <w:p>
            <w:pPr>
              <w:pStyle w:val="null3"/>
              <w:ind w:firstLine="420"/>
              <w:jc w:val="both"/>
            </w:pPr>
            <w:r>
              <w:rPr>
                <w:rFonts w:ascii="verdana" w:hAnsi="verdana" w:cs="verdana" w:eastAsia="verdana"/>
                <w:sz w:val="18"/>
              </w:rPr>
              <w:t>8.压系统油路具有吸油过滤.回油过滤双过滤模式，确保系统油路的清洁度；设置有应急手动泵，确保整机失去动力时液压系统仍能工作。</w:t>
            </w:r>
          </w:p>
          <w:p>
            <w:pPr>
              <w:pStyle w:val="null3"/>
              <w:ind w:firstLine="420"/>
              <w:jc w:val="both"/>
            </w:pPr>
            <w:r>
              <w:rPr>
                <w:rFonts w:ascii="verdana" w:hAnsi="verdana" w:cs="verdana" w:eastAsia="verdana"/>
                <w:sz w:val="18"/>
              </w:rPr>
              <w:t>9.车辆采用“显示屏+控制器+CAN总线操作面板”的控制模式；作业启动和停止时，可以一键控制电机转速.吸嘴升降.扫盘收放.左右喷杆收放等作业装置。</w:t>
            </w:r>
          </w:p>
          <w:p>
            <w:pPr>
              <w:pStyle w:val="null3"/>
              <w:ind w:firstLine="420"/>
              <w:jc w:val="both"/>
            </w:pPr>
            <w:r>
              <w:rPr>
                <w:rFonts w:ascii="verdana" w:hAnsi="verdana" w:cs="verdana" w:eastAsia="verdana"/>
                <w:sz w:val="18"/>
              </w:rPr>
              <w:t>10.车辆后部装有摄像头，驾驶室内装有彩色显示屏。作业时，可以在驾驶室内检查监视清洁效果。倒车时可以实时观察后方情况，防止追尾。</w:t>
            </w:r>
          </w:p>
          <w:p>
            <w:pPr>
              <w:pStyle w:val="null3"/>
              <w:ind w:firstLine="420"/>
              <w:jc w:val="both"/>
            </w:pPr>
            <w:r>
              <w:rPr>
                <w:rFonts w:ascii="verdana" w:hAnsi="verdana" w:cs="verdana" w:eastAsia="verdana"/>
                <w:sz w:val="18"/>
              </w:rPr>
              <w:t>11.车辆具有后喷雾降尘功能，可进行喷雾作业，稀湿空气，喷雾降尘。</w:t>
            </w:r>
          </w:p>
          <w:p>
            <w:pPr>
              <w:pStyle w:val="null3"/>
              <w:ind w:firstLine="420"/>
              <w:jc w:val="both"/>
            </w:pPr>
            <w:r>
              <w:rPr>
                <w:rFonts w:ascii="verdana" w:hAnsi="verdana" w:cs="verdana" w:eastAsia="verdana"/>
                <w:sz w:val="18"/>
              </w:rPr>
              <w:t>12.车辆具有自动吹水装置，在冬季作业完成后，可对管路进行自动吹水。</w:t>
            </w:r>
          </w:p>
          <w:p>
            <w:pPr>
              <w:pStyle w:val="null3"/>
              <w:ind w:firstLine="422"/>
              <w:jc w:val="both"/>
            </w:pPr>
            <w:r>
              <w:rPr>
                <w:rFonts w:ascii="verdana" w:hAnsi="verdana" w:cs="verdana" w:eastAsia="verdana"/>
                <w:sz w:val="18"/>
                <w:b/>
              </w:rPr>
              <w:t>第二项：3吨纯电动洗扫车技术要求（2台）</w:t>
            </w:r>
          </w:p>
          <w:p>
            <w:pPr>
              <w:pStyle w:val="null3"/>
              <w:ind w:firstLine="420"/>
              <w:jc w:val="both"/>
            </w:pPr>
            <w:r>
              <w:rPr>
                <w:rFonts w:ascii="verdana" w:hAnsi="verdana" w:cs="verdana" w:eastAsia="verdana"/>
                <w:sz w:val="18"/>
              </w:rPr>
              <w:t>（一）租赁车辆主要参数要求</w:t>
            </w:r>
          </w:p>
          <w:p>
            <w:pPr>
              <w:pStyle w:val="null3"/>
              <w:ind w:firstLine="420"/>
              <w:jc w:val="both"/>
            </w:pPr>
            <w:r>
              <w:rPr>
                <w:rFonts w:ascii="verdana" w:hAnsi="verdana" w:cs="verdana" w:eastAsia="verdana"/>
                <w:sz w:val="18"/>
              </w:rPr>
              <w:t>1.电池总电量：≥40 kwh；</w:t>
            </w:r>
          </w:p>
          <w:p>
            <w:pPr>
              <w:pStyle w:val="null3"/>
              <w:ind w:firstLine="420"/>
              <w:jc w:val="both"/>
            </w:pPr>
            <w:r>
              <w:rPr>
                <w:rFonts w:ascii="verdana" w:hAnsi="verdana" w:cs="verdana" w:eastAsia="verdana"/>
                <w:sz w:val="18"/>
              </w:rPr>
              <w:t>2.电池能量密度：≥135 w.h/kg；</w:t>
            </w:r>
          </w:p>
          <w:p>
            <w:pPr>
              <w:pStyle w:val="null3"/>
              <w:ind w:firstLine="420"/>
              <w:jc w:val="both"/>
            </w:pPr>
            <w:r>
              <w:rPr>
                <w:rFonts w:ascii="verdana" w:hAnsi="verdana" w:cs="verdana" w:eastAsia="verdana"/>
                <w:sz w:val="18"/>
              </w:rPr>
              <w:t>3.底盘电机峰值功率：≥60 kw；</w:t>
            </w:r>
          </w:p>
          <w:p>
            <w:pPr>
              <w:pStyle w:val="null3"/>
              <w:ind w:firstLine="420"/>
              <w:jc w:val="both"/>
            </w:pPr>
            <w:r>
              <w:rPr>
                <w:rFonts w:ascii="verdana" w:hAnsi="verdana" w:cs="verdana" w:eastAsia="verdana"/>
                <w:sz w:val="18"/>
              </w:rPr>
              <w:t>4.外形尺寸：长≥4900㎜；宽≥1800㎜；高≥2000㎜；</w:t>
            </w:r>
          </w:p>
          <w:p>
            <w:pPr>
              <w:pStyle w:val="null3"/>
              <w:ind w:firstLine="420"/>
              <w:jc w:val="both"/>
            </w:pPr>
            <w:r>
              <w:rPr>
                <w:rFonts w:ascii="verdana" w:hAnsi="verdana" w:cs="verdana" w:eastAsia="verdana"/>
                <w:sz w:val="18"/>
              </w:rPr>
              <w:t>5.总质量：≤4500 ㎏；</w:t>
            </w:r>
          </w:p>
          <w:p>
            <w:pPr>
              <w:pStyle w:val="null3"/>
              <w:ind w:firstLine="420"/>
              <w:jc w:val="both"/>
            </w:pPr>
            <w:r>
              <w:rPr>
                <w:rFonts w:ascii="verdana" w:hAnsi="verdana" w:cs="verdana" w:eastAsia="verdana"/>
                <w:sz w:val="18"/>
              </w:rPr>
              <w:t>6.额定载质量：≥400㎏；</w:t>
            </w:r>
          </w:p>
          <w:p>
            <w:pPr>
              <w:pStyle w:val="null3"/>
              <w:ind w:firstLine="420"/>
              <w:jc w:val="both"/>
            </w:pPr>
            <w:r>
              <w:rPr>
                <w:rFonts w:ascii="verdana" w:hAnsi="verdana" w:cs="verdana" w:eastAsia="verdana"/>
                <w:sz w:val="18"/>
              </w:rPr>
              <w:t>7.接近角/离去角：≥17°/10°；</w:t>
            </w:r>
          </w:p>
          <w:p>
            <w:pPr>
              <w:pStyle w:val="null3"/>
              <w:ind w:firstLine="420"/>
              <w:jc w:val="both"/>
            </w:pPr>
            <w:r>
              <w:rPr>
                <w:rFonts w:ascii="verdana" w:hAnsi="verdana" w:cs="verdana" w:eastAsia="verdana"/>
                <w:sz w:val="18"/>
              </w:rPr>
              <w:t>8.清水箱容积:≥1.2 m³；</w:t>
            </w:r>
          </w:p>
          <w:p>
            <w:pPr>
              <w:pStyle w:val="null3"/>
              <w:ind w:firstLine="420"/>
              <w:jc w:val="both"/>
            </w:pPr>
            <w:r>
              <w:rPr>
                <w:rFonts w:ascii="verdana" w:hAnsi="verdana" w:cs="verdana" w:eastAsia="verdana"/>
                <w:sz w:val="18"/>
              </w:rPr>
              <w:t>9.垃圾箱容积:≥2 m³；</w:t>
            </w:r>
          </w:p>
          <w:p>
            <w:pPr>
              <w:pStyle w:val="null3"/>
              <w:ind w:firstLine="420"/>
              <w:jc w:val="both"/>
            </w:pPr>
            <w:r>
              <w:rPr>
                <w:rFonts w:ascii="verdana" w:hAnsi="verdana" w:cs="verdana" w:eastAsia="verdana"/>
                <w:sz w:val="18"/>
              </w:rPr>
              <w:t>10.最小转弯直径：≤14 m；</w:t>
            </w:r>
          </w:p>
          <w:p>
            <w:pPr>
              <w:pStyle w:val="null3"/>
              <w:ind w:firstLine="420"/>
              <w:jc w:val="both"/>
            </w:pPr>
            <w:r>
              <w:rPr>
                <w:rFonts w:ascii="verdana" w:hAnsi="verdana" w:cs="verdana" w:eastAsia="verdana"/>
                <w:sz w:val="18"/>
              </w:rPr>
              <w:t>11.轴距：≤3350mm</w:t>
            </w:r>
          </w:p>
          <w:p>
            <w:pPr>
              <w:pStyle w:val="null3"/>
              <w:ind w:firstLine="420"/>
              <w:jc w:val="both"/>
            </w:pPr>
            <w:r>
              <w:rPr>
                <w:rFonts w:ascii="verdana" w:hAnsi="verdana" w:cs="verdana" w:eastAsia="verdana"/>
                <w:sz w:val="18"/>
              </w:rPr>
              <w:t>12.最大洗扫宽度：≥2m</w:t>
            </w:r>
          </w:p>
          <w:p>
            <w:pPr>
              <w:pStyle w:val="null3"/>
              <w:ind w:firstLine="420"/>
              <w:jc w:val="both"/>
            </w:pPr>
            <w:r>
              <w:rPr>
                <w:rFonts w:ascii="verdana" w:hAnsi="verdana" w:cs="verdana" w:eastAsia="verdana"/>
                <w:sz w:val="18"/>
              </w:rPr>
              <w:t>13.吸嘴总宽度：≥1550mm</w:t>
            </w:r>
          </w:p>
          <w:p>
            <w:pPr>
              <w:pStyle w:val="null3"/>
              <w:ind w:firstLine="420"/>
              <w:jc w:val="both"/>
            </w:pPr>
            <w:r>
              <w:rPr>
                <w:rFonts w:ascii="verdana" w:hAnsi="verdana" w:cs="verdana" w:eastAsia="verdana"/>
                <w:sz w:val="18"/>
              </w:rPr>
              <w:t>（二）主要性能参数：</w:t>
            </w:r>
          </w:p>
          <w:p>
            <w:pPr>
              <w:pStyle w:val="null3"/>
              <w:ind w:firstLine="420"/>
              <w:jc w:val="both"/>
            </w:pPr>
            <w:r>
              <w:rPr>
                <w:rFonts w:ascii="verdana" w:hAnsi="verdana" w:cs="verdana" w:eastAsia="verdana"/>
                <w:sz w:val="18"/>
              </w:rPr>
              <w:t>1.电池防护等级不小于IP68，控制器防护等级不小于IP68。</w:t>
            </w:r>
          </w:p>
          <w:p>
            <w:pPr>
              <w:pStyle w:val="null3"/>
              <w:ind w:firstLine="420"/>
              <w:jc w:val="both"/>
            </w:pPr>
            <w:r>
              <w:rPr>
                <w:rFonts w:ascii="verdana" w:hAnsi="verdana" w:cs="verdana" w:eastAsia="verdana"/>
                <w:sz w:val="18"/>
              </w:rPr>
              <w:t>2.车辆配置冷暖空调.多功能方向盘.低速巡航功能。</w:t>
            </w:r>
          </w:p>
          <w:p>
            <w:pPr>
              <w:pStyle w:val="null3"/>
              <w:ind w:firstLine="420"/>
              <w:jc w:val="both"/>
            </w:pPr>
            <w:r>
              <w:rPr>
                <w:rFonts w:ascii="verdana" w:hAnsi="verdana" w:cs="verdana" w:eastAsia="verdana"/>
                <w:sz w:val="18"/>
              </w:rPr>
              <w:t>3.车辆采用锂电池+电驱桥的传动方式；电池带有自动检测与被动均衡功能的能量管理系统。</w:t>
            </w:r>
          </w:p>
          <w:p>
            <w:pPr>
              <w:pStyle w:val="null3"/>
              <w:ind w:firstLine="420"/>
              <w:jc w:val="both"/>
            </w:pPr>
            <w:r>
              <w:rPr>
                <w:rFonts w:ascii="verdana" w:hAnsi="verdana" w:cs="verdana" w:eastAsia="verdana"/>
                <w:sz w:val="18"/>
              </w:rPr>
              <w:t>4.车辆清扫系统采用“中置两立扫＋后置超宽吸嘴内置高压水喷杆＋后置高压侧喷杆”技术结构，并将左.右侧喷杆与吸嘴整合在一起；高压喷杆采用管夹固定，不易松动。</w:t>
            </w:r>
          </w:p>
          <w:p>
            <w:pPr>
              <w:pStyle w:val="null3"/>
              <w:ind w:firstLine="420"/>
              <w:jc w:val="both"/>
            </w:pPr>
            <w:r>
              <w:rPr>
                <w:rFonts w:ascii="verdana" w:hAnsi="verdana" w:cs="verdana" w:eastAsia="verdana"/>
                <w:sz w:val="18"/>
              </w:rPr>
              <w:t>5.高压水路系统中设有卸荷阀保护；系统装有压力表，可对水压进行监控；高压水泵进水口前设有过滤器。</w:t>
            </w:r>
          </w:p>
          <w:p>
            <w:pPr>
              <w:pStyle w:val="null3"/>
              <w:ind w:firstLine="420"/>
              <w:jc w:val="both"/>
            </w:pPr>
            <w:r>
              <w:rPr>
                <w:rFonts w:ascii="verdana" w:hAnsi="verdana" w:cs="verdana" w:eastAsia="verdana"/>
                <w:sz w:val="18"/>
              </w:rPr>
              <w:t>6.清水箱设置低水位传感器，垃圾箱设置高水位传感器，驾驶室内有语音报警，提示水位情况。</w:t>
            </w:r>
          </w:p>
          <w:p>
            <w:pPr>
              <w:pStyle w:val="null3"/>
              <w:ind w:firstLine="420"/>
              <w:jc w:val="both"/>
            </w:pPr>
            <w:r>
              <w:rPr>
                <w:rFonts w:ascii="verdana" w:hAnsi="verdana" w:cs="verdana" w:eastAsia="verdana"/>
                <w:sz w:val="18"/>
              </w:rPr>
              <w:t>7.垃圾箱设高压自洁装置。</w:t>
            </w:r>
          </w:p>
          <w:p>
            <w:pPr>
              <w:pStyle w:val="null3"/>
              <w:ind w:firstLine="420"/>
              <w:jc w:val="both"/>
            </w:pPr>
            <w:r>
              <w:rPr>
                <w:rFonts w:ascii="verdana" w:hAnsi="verdana" w:cs="verdana" w:eastAsia="verdana"/>
                <w:sz w:val="18"/>
              </w:rPr>
              <w:t>8.风机采用铝合金壳体，高强度钢叶片，效率达70%以上。</w:t>
            </w:r>
          </w:p>
          <w:p>
            <w:pPr>
              <w:pStyle w:val="null3"/>
              <w:ind w:firstLine="420"/>
              <w:jc w:val="both"/>
            </w:pPr>
            <w:r>
              <w:rPr>
                <w:rFonts w:ascii="verdana" w:hAnsi="verdana" w:cs="verdana" w:eastAsia="verdana"/>
                <w:sz w:val="18"/>
              </w:rPr>
              <w:t>9.液压系统油路具有吸油过滤.回油过滤双过滤模式，确保系统油路的清洁度；设置有应急手动泵，确保整机失去动力时液压系统仍能工作。</w:t>
            </w:r>
          </w:p>
          <w:p>
            <w:pPr>
              <w:pStyle w:val="null3"/>
              <w:ind w:firstLine="420"/>
              <w:jc w:val="both"/>
            </w:pPr>
            <w:r>
              <w:rPr>
                <w:rFonts w:ascii="verdana" w:hAnsi="verdana" w:cs="verdana" w:eastAsia="verdana"/>
                <w:sz w:val="18"/>
              </w:rPr>
              <w:t>10.车辆具有“一键暂停”功能，在作业过程中，如遇红绿灯等待等特殊工况，可实现一键暂停，喷嘴停止喷水，扫盘停止旋转，电机返回怠速；暂停功能结束，恢复暂停前的工作状态。</w:t>
            </w:r>
          </w:p>
          <w:p>
            <w:pPr>
              <w:pStyle w:val="null3"/>
              <w:jc w:val="both"/>
            </w:pPr>
            <w:r>
              <w:rPr>
                <w:rFonts w:ascii="verdana" w:hAnsi="verdana" w:cs="verdana" w:eastAsia="verdana"/>
                <w:sz w:val="18"/>
              </w:rPr>
              <w:t>11.车辆具有一键吹水功能，在冬季作业完成后，可对管路进行自动吹水。</w:t>
            </w:r>
          </w:p>
        </w:tc>
      </w:tr>
      <w:tr>
        <w:tc>
          <w:tcPr>
            <w:tcW w:type="dxa" w:w="2769"/>
          </w:tcPr>
          <w:p/>
        </w:tc>
        <w:tc>
          <w:tcPr>
            <w:tcW w:type="dxa" w:w="2769"/>
          </w:tcPr>
          <w:p>
            <w:pPr>
              <w:pStyle w:val="null3"/>
            </w:pPr>
            <w:r>
              <w:rPr/>
              <w:t>3</w:t>
            </w:r>
          </w:p>
        </w:tc>
        <w:tc>
          <w:tcPr>
            <w:tcW w:type="dxa" w:w="2769"/>
          </w:tcPr>
          <w:p>
            <w:pPr>
              <w:pStyle w:val="null3"/>
              <w:ind w:firstLine="420"/>
              <w:jc w:val="both"/>
            </w:pPr>
            <w:r>
              <w:rPr>
                <w:rFonts w:ascii="verdana" w:hAnsi="verdana" w:cs="verdana" w:eastAsia="verdana"/>
                <w:sz w:val="18"/>
                <w:b/>
              </w:rPr>
              <w:t>三、服务要求</w:t>
            </w:r>
          </w:p>
          <w:p>
            <w:pPr>
              <w:pStyle w:val="null3"/>
              <w:ind w:firstLine="420"/>
              <w:jc w:val="both"/>
            </w:pPr>
            <w:r>
              <w:rPr>
                <w:rFonts w:ascii="verdana" w:hAnsi="verdana" w:cs="verdana" w:eastAsia="verdana"/>
                <w:sz w:val="18"/>
              </w:rPr>
              <w:t>1.所有车辆必须车况良好，车辆的行驶性能和各项内置设施处于良好的状态，车辆部件无假货、水货，尾气排放达标。</w:t>
            </w:r>
          </w:p>
          <w:p>
            <w:pPr>
              <w:pStyle w:val="null3"/>
              <w:ind w:firstLine="420"/>
              <w:jc w:val="both"/>
            </w:pPr>
            <w:r>
              <w:rPr>
                <w:rFonts w:ascii="verdana" w:hAnsi="verdana" w:cs="verdana" w:eastAsia="verdana"/>
                <w:sz w:val="18"/>
              </w:rPr>
              <w:t>2.纯电动车辆已使用年限不超过一年。</w:t>
            </w:r>
          </w:p>
          <w:p>
            <w:pPr>
              <w:pStyle w:val="null3"/>
              <w:ind w:firstLine="420"/>
              <w:jc w:val="both"/>
            </w:pPr>
            <w:r>
              <w:rPr>
                <w:rFonts w:ascii="verdana" w:hAnsi="verdana" w:cs="verdana" w:eastAsia="verdana"/>
                <w:sz w:val="18"/>
              </w:rPr>
              <w:t>3.租赁车辆交付使用时需具有有效牌照，办理齐全车辆上路运营所需全部资料，车辆加装GPS和北斗定位系统，采购人接到车辆后可直接投入使用。</w:t>
            </w:r>
          </w:p>
          <w:p>
            <w:pPr>
              <w:pStyle w:val="null3"/>
              <w:ind w:firstLine="420"/>
              <w:jc w:val="both"/>
            </w:pPr>
            <w:r>
              <w:rPr>
                <w:rFonts w:ascii="verdana" w:hAnsi="verdana" w:cs="verdana" w:eastAsia="verdana"/>
                <w:sz w:val="18"/>
              </w:rPr>
              <w:t>4.租赁服务期：车辆交由采购人并经验收合格之日起3年(合同一年一签。若经年终考核后，供应商上一年的服务不能满足采购人要求，采购人可拒绝同供应商续签)。</w:t>
            </w:r>
          </w:p>
          <w:p>
            <w:pPr>
              <w:pStyle w:val="null3"/>
              <w:ind w:firstLine="420"/>
              <w:jc w:val="both"/>
            </w:pPr>
            <w:r>
              <w:rPr>
                <w:rFonts w:ascii="verdana" w:hAnsi="verdana" w:cs="verdana" w:eastAsia="verdana"/>
                <w:sz w:val="18"/>
              </w:rPr>
              <w:t>5.车辆交付时间：合同签订当天向采购人交付全部租赁车辆。</w:t>
            </w:r>
          </w:p>
          <w:p>
            <w:pPr>
              <w:pStyle w:val="null3"/>
              <w:ind w:firstLine="420"/>
              <w:jc w:val="both"/>
            </w:pPr>
            <w:r>
              <w:rPr>
                <w:rFonts w:ascii="verdana" w:hAnsi="verdana" w:cs="verdana" w:eastAsia="verdana"/>
                <w:sz w:val="18"/>
              </w:rPr>
              <w:t>6.服务期首年由供应商在采购人指定保险机构购买车辆交强险及商业险（三责险不少于100万），以采购人或采购人指定第三方为被保险人及唯一受益人。合同签订后第二年开始至服务期期满之间的保险费由采购人支付。</w:t>
            </w:r>
          </w:p>
          <w:p>
            <w:pPr>
              <w:pStyle w:val="null3"/>
              <w:ind w:firstLine="420"/>
              <w:jc w:val="both"/>
            </w:pPr>
            <w:r>
              <w:rPr>
                <w:rFonts w:ascii="verdana" w:hAnsi="verdana" w:cs="verdana" w:eastAsia="verdana"/>
                <w:sz w:val="18"/>
              </w:rPr>
              <w:t>7.定期对租赁车辆进行检查，并提出合理建议，确保车辆正常运行。</w:t>
            </w:r>
          </w:p>
          <w:p>
            <w:pPr>
              <w:pStyle w:val="null3"/>
              <w:ind w:firstLine="420"/>
              <w:jc w:val="both"/>
            </w:pPr>
            <w:r>
              <w:rPr>
                <w:rFonts w:ascii="verdana" w:hAnsi="verdana" w:cs="verdana" w:eastAsia="verdana"/>
                <w:sz w:val="18"/>
              </w:rPr>
              <w:t>8.车辆操作人员进行技术培训，使操作人员能够熟练使用车辆各项功能。</w:t>
            </w:r>
          </w:p>
          <w:p>
            <w:pPr>
              <w:pStyle w:val="null3"/>
              <w:jc w:val="both"/>
            </w:pPr>
            <w:r>
              <w:rPr>
                <w:rFonts w:ascii="verdana" w:hAnsi="verdana" w:cs="verdana" w:eastAsia="verdana"/>
                <w:sz w:val="18"/>
              </w:rPr>
              <w:t>9.服务内容：供应商需根据采购人的需要和委托，向采购人提供租赁车辆，提供租赁物价明细表，包括租赁车辆的名称、品牌、型号、单位、数量、单价等。</w:t>
            </w:r>
          </w:p>
        </w:tc>
      </w:tr>
      <w:tr>
        <w:tc>
          <w:tcPr>
            <w:tcW w:type="dxa" w:w="2769"/>
          </w:tcPr>
          <w:p>
            <w:pPr>
              <w:pStyle w:val="null3"/>
            </w:pPr>
            <w:r>
              <w:rPr/>
              <w:t>★</w:t>
            </w:r>
          </w:p>
        </w:tc>
        <w:tc>
          <w:tcPr>
            <w:tcW w:type="dxa" w:w="2769"/>
          </w:tcPr>
          <w:p>
            <w:pPr>
              <w:pStyle w:val="null3"/>
            </w:pPr>
            <w:r>
              <w:rPr/>
              <w:t>4</w:t>
            </w:r>
          </w:p>
        </w:tc>
        <w:tc>
          <w:tcPr>
            <w:tcW w:type="dxa" w:w="2769"/>
          </w:tcPr>
          <w:p>
            <w:pPr>
              <w:pStyle w:val="null3"/>
              <w:ind w:firstLine="420"/>
              <w:jc w:val="both"/>
            </w:pPr>
            <w:r>
              <w:rPr>
                <w:rFonts w:ascii="verdana" w:hAnsi="verdana" w:cs="verdana" w:eastAsia="verdana"/>
                <w:sz w:val="18"/>
                <w:b/>
              </w:rPr>
              <w:t>四、商务要求</w:t>
            </w:r>
          </w:p>
          <w:p>
            <w:pPr>
              <w:pStyle w:val="null3"/>
              <w:ind w:firstLine="420"/>
              <w:jc w:val="both"/>
            </w:pPr>
            <w:r>
              <w:rPr>
                <w:rFonts w:ascii="verdana" w:hAnsi="verdana" w:cs="verdana" w:eastAsia="verdana"/>
                <w:sz w:val="18"/>
              </w:rPr>
              <w:t>1.服务内容：乙方需根据甲方的需要和委托，向甲方提供租赁车辆，提供租赁物价明细表，包括租赁车辆的名称、品牌、型号、单位、数量、单价等。</w:t>
            </w:r>
          </w:p>
          <w:p>
            <w:pPr>
              <w:pStyle w:val="null3"/>
              <w:ind w:firstLine="420"/>
              <w:jc w:val="both"/>
            </w:pPr>
            <w:r>
              <w:rPr>
                <w:rFonts w:ascii="verdana" w:hAnsi="verdana" w:cs="verdana" w:eastAsia="verdana"/>
                <w:sz w:val="18"/>
              </w:rPr>
              <w:t>2.租赁期：车辆交由甲方并经验收合格之日起3年。</w:t>
            </w:r>
          </w:p>
          <w:p>
            <w:pPr>
              <w:pStyle w:val="null3"/>
              <w:ind w:firstLine="420"/>
              <w:jc w:val="both"/>
            </w:pPr>
            <w:r>
              <w:rPr>
                <w:rFonts w:ascii="verdana" w:hAnsi="verdana" w:cs="verdana" w:eastAsia="verdana"/>
                <w:sz w:val="18"/>
              </w:rPr>
              <w:t>3.付款方式：租赁服务期每年一付，经甲方确定乙方服务合格且无违约行为，支付上年度费用。</w:t>
            </w:r>
          </w:p>
          <w:p>
            <w:pPr>
              <w:pStyle w:val="null3"/>
              <w:jc w:val="both"/>
            </w:pPr>
            <w:r>
              <w:rPr>
                <w:rFonts w:ascii="verdana" w:hAnsi="verdana" w:cs="verdana" w:eastAsia="verdana"/>
                <w:sz w:val="18"/>
              </w:rPr>
              <w:t>4.付款依据：付款前乙方需提供等额发票。</w:t>
            </w:r>
          </w:p>
        </w:tc>
      </w:tr>
    </w:tbl>
    <w:p>
      <w:pPr>
        <w:pStyle w:val="null3"/>
        <w:outlineLvl w:val="2"/>
      </w:pPr>
      <w:r>
        <w:rPr>
          <w:sz w:val="28"/>
          <w:b/>
        </w:rPr>
        <w:t>3.2.3人员配置要求</w:t>
      </w:r>
    </w:p>
    <w:p>
      <w:pPr>
        <w:pStyle w:val="null3"/>
      </w:pPr>
      <w:r>
        <w:rPr/>
        <w:t>采购包1：</w:t>
      </w:r>
    </w:p>
    <w:p>
      <w:pPr>
        <w:pStyle w:val="null3"/>
      </w:pPr>
      <w:r>
        <w:rPr/>
        <w:t>详见服务内容及服务要求</w:t>
      </w:r>
    </w:p>
    <w:p>
      <w:pPr>
        <w:pStyle w:val="null3"/>
        <w:outlineLvl w:val="2"/>
      </w:pPr>
      <w:r>
        <w:rPr>
          <w:sz w:val="28"/>
          <w:b/>
        </w:rPr>
        <w:t>3.2.4设施设备要求</w:t>
      </w:r>
    </w:p>
    <w:p>
      <w:pPr>
        <w:pStyle w:val="null3"/>
      </w:pPr>
      <w:r>
        <w:rPr/>
        <w:t>采购包1：</w:t>
      </w:r>
    </w:p>
    <w:p>
      <w:pPr>
        <w:pStyle w:val="null3"/>
      </w:pPr>
      <w:r>
        <w:rPr/>
        <w:t>详见服务内容及服务要求</w:t>
      </w:r>
    </w:p>
    <w:p>
      <w:pPr>
        <w:pStyle w:val="null3"/>
        <w:outlineLvl w:val="2"/>
      </w:pPr>
      <w:r>
        <w:rPr>
          <w:sz w:val="28"/>
          <w:b/>
        </w:rPr>
        <w:t>3.2.5其他要求</w:t>
      </w:r>
    </w:p>
    <w:p>
      <w:pPr>
        <w:pStyle w:val="null3"/>
      </w:pPr>
      <w:r>
        <w:rPr/>
        <w:t>采购包1：</w:t>
      </w:r>
    </w:p>
    <w:p>
      <w:pPr>
        <w:pStyle w:val="null3"/>
      </w:pPr>
      <w:r>
        <w:rPr/>
        <w:t>详见服务内容及服务要求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车辆交由采购人并经验收合格之日起3年。</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1.成交供应商按照项目需求完成服务后，由用户方组织验收。 2.验收依据： (1) 合同文本； (2) 国家有关的验收标准及规范； (3) 竞争性磋商文件； (4) 磋商响应文件。 3.其他以采购合同约定为准。</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租赁服务期每年一付，经甲方确定乙方服务合格且无违约行为，支付上年度费用</w:t>
      </w:r>
      <w:r>
        <w:rPr/>
        <w:t xml:space="preserve"> ，达到付款条件起 </w:t>
      </w:r>
      <w:r>
        <w:rPr/>
        <w:t>30</w:t>
      </w:r>
      <w:r>
        <w:rPr/>
        <w:t xml:space="preserve"> 日内，支付合同总金额的 </w:t>
      </w:r>
      <w:r>
        <w:rPr/>
        <w:t>33.30</w:t>
      </w:r>
      <w:r>
        <w:rPr/>
        <w:t>%。</w:t>
      </w:r>
    </w:p>
    <w:p>
      <w:pPr>
        <w:pStyle w:val="null3"/>
      </w:pPr>
      <w:r>
        <w:rPr/>
        <w:t>采购包1：</w:t>
      </w:r>
      <w:r>
        <w:rPr/>
        <w:t xml:space="preserve"> 付款条件说明： </w:t>
      </w:r>
      <w:r>
        <w:rPr/>
        <w:t>租赁服务期每年一付，经甲方确定乙方服务合格且无违约行为，支付上年度费用</w:t>
      </w:r>
      <w:r>
        <w:rPr/>
        <w:t xml:space="preserve"> ，达到付款条件起 </w:t>
      </w:r>
      <w:r>
        <w:rPr/>
        <w:t>30</w:t>
      </w:r>
      <w:r>
        <w:rPr/>
        <w:t xml:space="preserve"> 日内，支付合同总金额的 </w:t>
      </w:r>
      <w:r>
        <w:rPr/>
        <w:t>33.30</w:t>
      </w:r>
      <w:r>
        <w:rPr/>
        <w:t>%。</w:t>
      </w:r>
    </w:p>
    <w:p>
      <w:pPr>
        <w:pStyle w:val="null3"/>
      </w:pPr>
      <w:r>
        <w:rPr/>
        <w:t>采购包1：</w:t>
      </w:r>
      <w:r>
        <w:rPr/>
        <w:t xml:space="preserve"> 付款条件说明： </w:t>
      </w:r>
      <w:r>
        <w:rPr/>
        <w:t>租赁服务期每年一付，经甲方确定乙方服务合格且无违约行为，支付上年度费用</w:t>
      </w:r>
      <w:r>
        <w:rPr/>
        <w:t xml:space="preserve"> ，达到付款条件起 </w:t>
      </w:r>
      <w:r>
        <w:rPr/>
        <w:t>30</w:t>
      </w:r>
      <w:r>
        <w:rPr/>
        <w:t xml:space="preserve"> 日内，支付合同总金额的 </w:t>
      </w:r>
      <w:r>
        <w:rPr/>
        <w:t>33.40</w:t>
      </w:r>
      <w:r>
        <w:rPr/>
        <w:t>%。</w:t>
      </w:r>
    </w:p>
    <w:p>
      <w:pPr>
        <w:pStyle w:val="null3"/>
        <w:outlineLvl w:val="3"/>
      </w:pPr>
      <w:r>
        <w:rPr>
          <w:sz w:val="24"/>
          <w:b/>
        </w:rPr>
        <w:t>3.3.6违约责任及解决争议的方法</w:t>
      </w:r>
    </w:p>
    <w:p>
      <w:pPr>
        <w:pStyle w:val="null3"/>
      </w:pPr>
      <w:r>
        <w:rPr/>
        <w:t>采购包1：</w:t>
      </w:r>
    </w:p>
    <w:p>
      <w:pPr>
        <w:pStyle w:val="null3"/>
      </w:pPr>
      <w:r>
        <w:rPr/>
        <w:t>①违约责任：（一）按《中华人民共和国政府采购法》、《中华人民共和国民法典》中的相关条款执行。 （二）未按合同要求提供服务或服务质量不能满足本次项目要求，甲方有权终止合同和对乙方违约行为进行追究，同时按有关规定进行相应的处罚。 ②本合同在履行过程中发生的争议，由甲、乙双方当事人协商解决，协商不成的依法向甲方所在地法院起诉。</w:t>
      </w:r>
    </w:p>
    <w:p>
      <w:pPr>
        <w:pStyle w:val="null3"/>
        <w:outlineLvl w:val="2"/>
      </w:pPr>
      <w:r>
        <w:rPr>
          <w:sz w:val="28"/>
          <w:b/>
        </w:rPr>
        <w:t>3.4其他要求</w:t>
      </w:r>
    </w:p>
    <w:p>
      <w:pPr>
        <w:pStyle w:val="null3"/>
      </w:pPr>
      <w:r>
        <w:rPr/>
        <w:t>所有供应商在磋商截止时间后需提供纸质版响应文件三份、电子版U盘壹份。纸质版响应文件应与政府采购电子化交易平台中上传的内容保持一致。</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供应商需在项目电子化交易系统中按要求填写《响应函》完成承诺并进行电子签章（须包含以下要求内容）： a.营业执照、组织机构代码证、税务登记证(三证合一的提供统一社会信用代码的营业执照)其他组织经营的合法凭证，自然人的提供身份证明文件； b.财务状况证明：提供2023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及基本存款账户开户许可证（基本账户信息）或财政部门认可的政府采购专业担保机构出具的担保函(附开户许可证或开户备案证明或基本账户信息)，以上形式的证明资料提供任何一种即可。 c.提供具有履行合同所必需的设备和专业技术能力的承诺；(格式自拟) d.税收缴纳证明：提供投标截止日前一年内已缴纳的至少一个月的纳税证明或完税证明，依法免税的单位应提供相关证明材料； e .社会保障资金缴纳证明：提供投标截止日前一年内已缴存的至少一个月的社会保障资金缴存单据或社保机构开具的社会保险参保缴费情况证明，依法不需要缴纳社会保障资金的单位应提供相关证明材料； f.参加政府采购活动前3年内，在经营活动中没有重大违法记录的书面声明。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资格证明文件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法定代表人授权书（附法定代表人、被授权人身份证复印件；法定代表人直接参加投标，须提供法定代表人身份证明）</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信用记录</w:t>
            </w:r>
          </w:p>
        </w:tc>
        <w:tc>
          <w:tcPr>
            <w:tcW w:type="dxa" w:w="3322"/>
          </w:tcPr>
          <w:p>
            <w:pPr>
              <w:pStyle w:val="null3"/>
            </w:pPr>
            <w:r>
              <w:rPr/>
              <w:t>供应商未被“信用中国”网站（www.creditchina.gov.cn）列入失信被执行人和重大税收违法失信主体，未被中国政府采购网（www.ccgp.gov.cn）列入政府采购严重违法失信行为记录名单；（以现场信用记录查询结果为准）</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非联合体</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磋商响应文件的签署盖章</w:t>
            </w:r>
          </w:p>
        </w:tc>
        <w:tc>
          <w:tcPr>
            <w:tcW w:type="dxa" w:w="3322"/>
          </w:tcPr>
          <w:p>
            <w:pPr>
              <w:pStyle w:val="null3"/>
            </w:pPr>
            <w:r>
              <w:rPr/>
              <w:t>法定代表人或被授权人的签字齐全并加盖公章</w:t>
            </w:r>
          </w:p>
        </w:tc>
        <w:tc>
          <w:tcPr>
            <w:tcW w:type="dxa" w:w="1661"/>
          </w:tcPr>
          <w:p>
            <w:pPr>
              <w:pStyle w:val="null3"/>
            </w:pPr>
            <w:r>
              <w:rPr/>
              <w:t>响应文件封面 资格证明文件</w:t>
            </w:r>
          </w:p>
        </w:tc>
      </w:tr>
      <w:tr>
        <w:tc>
          <w:tcPr>
            <w:tcW w:type="dxa" w:w="831"/>
          </w:tcPr>
          <w:p>
            <w:pPr>
              <w:pStyle w:val="null3"/>
            </w:pPr>
            <w:r>
              <w:rPr/>
              <w:t>3</w:t>
            </w:r>
          </w:p>
        </w:tc>
        <w:tc>
          <w:tcPr>
            <w:tcW w:type="dxa" w:w="2492"/>
          </w:tcPr>
          <w:p>
            <w:pPr>
              <w:pStyle w:val="null3"/>
            </w:pPr>
            <w:r>
              <w:rPr/>
              <w:t>磋商响应文件格式</w:t>
            </w:r>
          </w:p>
        </w:tc>
        <w:tc>
          <w:tcPr>
            <w:tcW w:type="dxa" w:w="3322"/>
          </w:tcPr>
          <w:p>
            <w:pPr>
              <w:pStyle w:val="null3"/>
            </w:pPr>
            <w:r>
              <w:rPr/>
              <w:t>符合“磋商响应文件格式”的规定</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只能有一个有效报价，不得提交选择性报价，且报价不超过最高限价。</w:t>
            </w:r>
          </w:p>
        </w:tc>
        <w:tc>
          <w:tcPr>
            <w:tcW w:type="dxa" w:w="1661"/>
          </w:tcPr>
          <w:p>
            <w:pPr>
              <w:pStyle w:val="null3"/>
            </w:pPr>
            <w:r>
              <w:rPr/>
              <w:t>报价表 磋商报价表</w:t>
            </w:r>
          </w:p>
        </w:tc>
      </w:tr>
      <w:tr>
        <w:tc>
          <w:tcPr>
            <w:tcW w:type="dxa" w:w="831"/>
          </w:tcPr>
          <w:p>
            <w:pPr>
              <w:pStyle w:val="null3"/>
            </w:pPr>
            <w:r>
              <w:rPr/>
              <w:t>5</w:t>
            </w:r>
          </w:p>
        </w:tc>
        <w:tc>
          <w:tcPr>
            <w:tcW w:type="dxa" w:w="2492"/>
          </w:tcPr>
          <w:p>
            <w:pPr>
              <w:pStyle w:val="null3"/>
            </w:pPr>
            <w:r>
              <w:rPr/>
              <w:t>对竞争性磋商文件响应程度</w:t>
            </w:r>
          </w:p>
        </w:tc>
        <w:tc>
          <w:tcPr>
            <w:tcW w:type="dxa" w:w="3322"/>
          </w:tcPr>
          <w:p>
            <w:pPr>
              <w:pStyle w:val="null3"/>
            </w:pPr>
            <w:r>
              <w:rPr/>
              <w:t>要求实质性条款全部响应，不能有采购人不能接受的附加条件</w:t>
            </w:r>
          </w:p>
        </w:tc>
        <w:tc>
          <w:tcPr>
            <w:tcW w:type="dxa" w:w="1661"/>
          </w:tcPr>
          <w:p>
            <w:pPr>
              <w:pStyle w:val="null3"/>
            </w:pPr>
            <w:r>
              <w:rPr/>
              <w:t>其它资料 磋商方案说明书</w:t>
            </w:r>
          </w:p>
        </w:tc>
      </w:tr>
      <w:tr>
        <w:tc>
          <w:tcPr>
            <w:tcW w:type="dxa" w:w="831"/>
          </w:tcPr>
          <w:p>
            <w:pPr>
              <w:pStyle w:val="null3"/>
            </w:pPr>
            <w:r>
              <w:rPr/>
              <w:t>6</w:t>
            </w:r>
          </w:p>
        </w:tc>
        <w:tc>
          <w:tcPr>
            <w:tcW w:type="dxa" w:w="2492"/>
          </w:tcPr>
          <w:p>
            <w:pPr>
              <w:pStyle w:val="null3"/>
            </w:pPr>
            <w:r>
              <w:rPr/>
              <w:t>服务期限（合同履行期限）</w:t>
            </w:r>
          </w:p>
        </w:tc>
        <w:tc>
          <w:tcPr>
            <w:tcW w:type="dxa" w:w="3322"/>
          </w:tcPr>
          <w:p>
            <w:pPr>
              <w:pStyle w:val="null3"/>
            </w:pPr>
            <w:r>
              <w:rPr/>
              <w:t>应满足磋商文件中要求的服务期限（合同履行期限）</w:t>
            </w:r>
          </w:p>
        </w:tc>
        <w:tc>
          <w:tcPr>
            <w:tcW w:type="dxa" w:w="1661"/>
          </w:tcPr>
          <w:p>
            <w:pPr>
              <w:pStyle w:val="null3"/>
            </w:pPr>
            <w:r>
              <w:rPr/>
              <w:t>磋商报价表</w:t>
            </w:r>
          </w:p>
        </w:tc>
      </w:tr>
      <w:tr>
        <w:tc>
          <w:tcPr>
            <w:tcW w:type="dxa" w:w="831"/>
          </w:tcPr>
          <w:p>
            <w:pPr>
              <w:pStyle w:val="null3"/>
            </w:pPr>
            <w:r>
              <w:rPr/>
              <w:t>7</w:t>
            </w:r>
          </w:p>
        </w:tc>
        <w:tc>
          <w:tcPr>
            <w:tcW w:type="dxa" w:w="2492"/>
          </w:tcPr>
          <w:p>
            <w:pPr>
              <w:pStyle w:val="null3"/>
            </w:pPr>
            <w:r>
              <w:rPr/>
              <w:t>服务地点</w:t>
            </w:r>
          </w:p>
        </w:tc>
        <w:tc>
          <w:tcPr>
            <w:tcW w:type="dxa" w:w="3322"/>
          </w:tcPr>
          <w:p>
            <w:pPr>
              <w:pStyle w:val="null3"/>
            </w:pPr>
            <w:r>
              <w:rPr/>
              <w:t>应满足磋商文件中要求的服务地点</w:t>
            </w:r>
          </w:p>
        </w:tc>
        <w:tc>
          <w:tcPr>
            <w:tcW w:type="dxa" w:w="1661"/>
          </w:tcPr>
          <w:p>
            <w:pPr>
              <w:pStyle w:val="null3"/>
            </w:pPr>
            <w:r>
              <w:rPr/>
              <w:t>磋商报价表</w:t>
            </w:r>
          </w:p>
        </w:tc>
      </w:tr>
      <w:tr>
        <w:tc>
          <w:tcPr>
            <w:tcW w:type="dxa" w:w="831"/>
          </w:tcPr>
          <w:p>
            <w:pPr>
              <w:pStyle w:val="null3"/>
            </w:pPr>
            <w:r>
              <w:rPr/>
              <w:t>8</w:t>
            </w:r>
          </w:p>
        </w:tc>
        <w:tc>
          <w:tcPr>
            <w:tcW w:type="dxa" w:w="2492"/>
          </w:tcPr>
          <w:p>
            <w:pPr>
              <w:pStyle w:val="null3"/>
            </w:pPr>
            <w:r>
              <w:rPr/>
              <w:t>磋商有效期</w:t>
            </w:r>
          </w:p>
        </w:tc>
        <w:tc>
          <w:tcPr>
            <w:tcW w:type="dxa" w:w="3322"/>
          </w:tcPr>
          <w:p>
            <w:pPr>
              <w:pStyle w:val="null3"/>
            </w:pPr>
            <w:r>
              <w:rPr/>
              <w:t>应满足磋商文件中的规定</w:t>
            </w:r>
          </w:p>
        </w:tc>
        <w:tc>
          <w:tcPr>
            <w:tcW w:type="dxa" w:w="1661"/>
          </w:tcPr>
          <w:p>
            <w:pPr>
              <w:pStyle w:val="null3"/>
            </w:pPr>
            <w:r>
              <w:rPr/>
              <w:t>响应函</w:t>
            </w:r>
          </w:p>
        </w:tc>
      </w:tr>
      <w:tr>
        <w:tc>
          <w:tcPr>
            <w:tcW w:type="dxa" w:w="831"/>
          </w:tcPr>
          <w:p>
            <w:pPr>
              <w:pStyle w:val="null3"/>
            </w:pPr>
            <w:r>
              <w:rPr/>
              <w:t>9</w:t>
            </w:r>
          </w:p>
        </w:tc>
        <w:tc>
          <w:tcPr>
            <w:tcW w:type="dxa" w:w="2492"/>
          </w:tcPr>
          <w:p>
            <w:pPr>
              <w:pStyle w:val="null3"/>
            </w:pPr>
            <w:r>
              <w:rPr/>
              <w:t>其他</w:t>
            </w:r>
          </w:p>
        </w:tc>
        <w:tc>
          <w:tcPr>
            <w:tcW w:type="dxa" w:w="3322"/>
          </w:tcPr>
          <w:p>
            <w:pPr>
              <w:pStyle w:val="null3"/>
            </w:pPr>
            <w:r>
              <w:rPr/>
              <w:t>不存在法律、法规和采购文件规定的其他无效投标情形</w:t>
            </w:r>
          </w:p>
        </w:tc>
        <w:tc>
          <w:tcPr>
            <w:tcW w:type="dxa" w:w="1661"/>
          </w:tcPr>
          <w:p>
            <w:pPr>
              <w:pStyle w:val="null3"/>
            </w:pPr>
            <w:r>
              <w:rPr/>
              <w:t>其它资料</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若出现综合得分并列时，比较投标价格，价格低的排序在前；若价格得分仍相同，比较技术得分，此分项得分高者排序在前；若此项得分仍相同，则由全体磋商小组成员无记名投票得票高者排序在前。</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提供针对本项目的实施方案，包括①服务实施规划、②车辆交付计划、③人员配备方案等，根据实施方案响应情况赋分。 以上三项内容方案全面、合理可行、针对性强得9分，以上分项每缺少一项内容扣3分； 有某一项不完整、或不合理、或不符合实际需求、或套用其他项目内容的，每项扣1.5分。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车辆投入计划</w:t>
            </w:r>
          </w:p>
        </w:tc>
        <w:tc>
          <w:tcPr>
            <w:tcW w:type="dxa" w:w="2492"/>
          </w:tcPr>
          <w:p>
            <w:pPr>
              <w:pStyle w:val="null3"/>
            </w:pPr>
            <w:r>
              <w:rPr/>
              <w:t>1.产品选型 A.所投租赁车辆选型合理、功能先进、性能稳定、耐用，得4分； B.所投租赁车辆选型合理、功能保守、性能一般，得2分。 2.提供产品的相关技术资料(包括但不限于检测报告或产品彩页或官网和功能截图等)的有关内容，对产品技术指标进行评审。 “技术参数与性能指标-二、服务内容及技术要求”中，参数完全满足要求得20分，一项不满足扣0.4分，扣完为止。 3.所投产品供货渠道正规，确保供应的产品无产权纠纷(包括但不限于：产品制造商授权或销售协议或代理协议等) A.来源渠道合法、明确，证明材料完善，得4分； B.来源渠道合法，证明材料欠缺，得2分； C.其他或未提供不得分。 4.车辆现状 提供车辆最新实物照片、行驶证、使用年限、里程、手续、GPS 配置和北斗定位系统等情况。 A.车况良好、手续齐全、材料完善，得4分； B.车况一般、手续齐全、材料较完善，得2分； C.其他或未提供不得分。 5.车辆功能 A.环卫车辆应用功能得以直观体现，有详细的操作流程，操作简便、应用合理，得4分； B.环卫车辆应用功能无法体现，操作流程简单笼统，操作较合理，得2分； C.其他或未提供不得分。</w:t>
            </w:r>
          </w:p>
        </w:tc>
        <w:tc>
          <w:tcPr>
            <w:tcW w:type="dxa" w:w="831"/>
          </w:tcPr>
          <w:p>
            <w:pPr>
              <w:pStyle w:val="null3"/>
              <w:jc w:val="right"/>
            </w:pPr>
            <w:r>
              <w:rPr/>
              <w:t>36.0000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保障措施</w:t>
            </w:r>
          </w:p>
        </w:tc>
        <w:tc>
          <w:tcPr>
            <w:tcW w:type="dxa" w:w="2492"/>
          </w:tcPr>
          <w:p>
            <w:pPr>
              <w:pStyle w:val="null3"/>
            </w:pPr>
            <w:r>
              <w:rPr/>
              <w:t>提供①项目进度安排计划及保障措施；②项目质量保障措施；③项目安全保障措施。 以上三项内容详细完整、合理可行、针对性强，得9分，缺一项扣3分，扣完为止； 有一项内容缺陷（缺陷是指：内容不详细具体、条理不清晰、描述过于简单、与项目特点不匹配、凭空编造、出现常识性错误、不可能实现的夸大情形、存在不适用项目实际情况的情形等）扣1.5分。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培训方案</w:t>
            </w:r>
          </w:p>
        </w:tc>
        <w:tc>
          <w:tcPr>
            <w:tcW w:type="dxa" w:w="2492"/>
          </w:tcPr>
          <w:p>
            <w:pPr>
              <w:pStyle w:val="null3"/>
            </w:pPr>
            <w:r>
              <w:rPr/>
              <w:t>供应商根据项目实际情况提供技术培训方案，包括但不限于培训内容、培训方式等。 A.方案完善、合理有效、针对性强，得6 分； B.方案较详细、较合理、缺乏针对性，得4 分； C.方案简单笼统、缺乏针对性，得2 分； D.其他或未提供不得分。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后期服务</w:t>
            </w:r>
          </w:p>
        </w:tc>
        <w:tc>
          <w:tcPr>
            <w:tcW w:type="dxa" w:w="2492"/>
          </w:tcPr>
          <w:p>
            <w:pPr>
              <w:pStyle w:val="null3"/>
            </w:pPr>
            <w:r>
              <w:rPr/>
              <w:t>提供①租赁期内供应商定时对车辆进行检查维护并提出合理意见；②车辆充电及第三方保险服务方案；③项目实施过程中的配合服务及承诺。 以上三项内容详细完整、合理可行、针对性强，得9分，缺一项扣3分，扣完为止； 有一项内容缺陷（缺陷是指：内容不详细具体、条理不清晰、描述过于简单、与项目特点不匹配、凭空编造、出现常识性错误、不可能实现的夸大情形、存在不适用项目实际情况的情形等）扣1.5分。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磋商方案说明书</w:t>
            </w:r>
          </w:p>
        </w:tc>
      </w:tr>
      <w:tr>
        <w:tc>
          <w:tcPr>
            <w:tcW w:type="dxa" w:w="831"/>
            <w:vMerge/>
          </w:tcPr>
          <w:p/>
        </w:tc>
        <w:tc>
          <w:tcPr>
            <w:tcW w:type="dxa" w:w="1661"/>
          </w:tcPr>
          <w:p>
            <w:pPr>
              <w:pStyle w:val="null3"/>
            </w:pPr>
            <w:r>
              <w:rPr/>
              <w:t>应急方案</w:t>
            </w:r>
          </w:p>
        </w:tc>
        <w:tc>
          <w:tcPr>
            <w:tcW w:type="dxa" w:w="2492"/>
          </w:tcPr>
          <w:p>
            <w:pPr>
              <w:pStyle w:val="null3"/>
            </w:pPr>
            <w:r>
              <w:rPr/>
              <w:t>提供服务过程中可能发生的特殊情况、突发情况的应急保障措施。 A.方案详细完整，合理可行；保障措施针对性及可行性强，得6分； B.方案较详细，基本可行；保障措施有一定的针对性和可行性，得4分； C.方案内容简单笼统；保障措施空泛无针对性，得2分； D.其他或未提供不得分。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磋商方案说明书</w:t>
            </w:r>
          </w:p>
        </w:tc>
      </w:tr>
      <w:tr>
        <w:tc>
          <w:tcPr>
            <w:tcW w:type="dxa" w:w="831"/>
            <w:vMerge/>
          </w:tcPr>
          <w:p/>
        </w:tc>
        <w:tc>
          <w:tcPr>
            <w:tcW w:type="dxa" w:w="1661"/>
          </w:tcPr>
          <w:p>
            <w:pPr>
              <w:pStyle w:val="null3"/>
            </w:pPr>
            <w:r>
              <w:rPr/>
              <w:t>业绩</w:t>
            </w:r>
          </w:p>
        </w:tc>
        <w:tc>
          <w:tcPr>
            <w:tcW w:type="dxa" w:w="2492"/>
          </w:tcPr>
          <w:p>
            <w:pPr>
              <w:pStyle w:val="null3"/>
            </w:pPr>
            <w:r>
              <w:rPr/>
              <w:t>供应商2021年10月1日（以合同签订时间为准）至本项目磋商响应文件递交截止时间止完成过的类似项目业绩，每提供一个得2分，最高得10分。 注：业绩以加盖公章的合同协议书的复印件为准。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磋商方案说明书</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1.实质性满足磋商文件要求且最终报价最低的有效报价为评标基准价,其价格分值为满分15分。 2.磋商报价得分=（磋商基准价/最终磋商报价）×15。</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详见附件：资格证明文件</w:t>
      </w:r>
    </w:p>
    <w:p>
      <w:pPr>
        <w:pStyle w:val="null3"/>
        <w:ind w:firstLine="960"/>
      </w:pPr>
      <w:r>
        <w:rPr/>
        <w:t>详见附件：磋商方案说明书</w:t>
      </w:r>
    </w:p>
    <w:p>
      <w:pPr>
        <w:pStyle w:val="null3"/>
        <w:ind w:firstLine="960"/>
      </w:pPr>
      <w:r>
        <w:rPr/>
        <w:t>详见附件：其它资料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