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版本号：SXZHZC2025-CS20120250306001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西安市鄠邑区第二中学10KV供配电增容改造项目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SXZHZC2025-CS201</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西安市鄠邑区第二中学10KV供配电增容改造项目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西安市鄠邑区第二中学10KV供配电增容改造项目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西安市鄠邑区第二中学位于鄠邑区甘河街道东，校内现有变压器难以满足学校日常需求，区教育局拟实施鄠邑区第二中学10kV供配电增容改造工程，以满足学校用电需求。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采购包1（西安市鄠邑区第二中学10kV供配电增容改造工程项目）：属于专门面向中小企业采购。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2、供应商资质要求：供应商具有电力工程施工总承包三级及以上资质或输变电工程专业承包三级及以上资质，具有有效的安全生产许可证；且具备承装、承修、承试五级及以上承装（修、试）电力设施许可证</w:t>
      </w:r>
    </w:p>
    <w:p>
      <w:pPr>
        <w:pStyle w:val="null3"/>
      </w:pPr>
      <w:r>
        <w:rPr>
          <w:rFonts w:ascii="仿宋_GB2312" w:hAnsi="仿宋_GB2312" w:cs="仿宋_GB2312" w:eastAsia="仿宋_GB2312"/>
        </w:rPr>
        <w:t>3、拟派项目负责人资质和专业要求：拟派项目经理须具备机电工程专业二级及以上建造师资格，具备有效的安全生产考核合格证（建安B证），在本单位注册且无在建项目（提供承诺书）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84812962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采购包1：749,452.84元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说明：供应商应在与采购人签订合同时支付履约保证金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现行有关施工质量验收规范“合格”标准。二、交付竣工验收的工程，必须符合规定的工程质量标准，有完整的工程技术经济资料和经签署的工程保修书，并具备国家规定的其他竣工条件。工程竣工经验收合格后，方可交付使用；未经验收或者验收不合格的，不得交付使用。三、验收结果合格的，采购人应向成交供应商出具履约验收报告，成交供应商凭验收报告办理相关手续。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749,452.84</w:t>
      </w:r>
    </w:p>
    <w:p>
      <w:pPr>
        <w:pStyle w:val="null3"/>
      </w:pPr>
      <w:r>
        <w:rPr>
          <w:rFonts w:ascii="仿宋_GB2312" w:hAnsi="仿宋_GB2312" w:cs="仿宋_GB2312" w:eastAsia="仿宋_GB2312"/>
        </w:rPr>
        <w:t>采购包最高限价（元）: 749,452.84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变压器、输电线路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749,452.84</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标的名称：变压器、输电线路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sz w:val="24"/>
              </w:rPr>
              <w:t>技术要求及工程量清单详见附件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计价依据</w:t>
            </w:r>
          </w:p>
        </w:tc>
        <w:tc>
          <w:tcPr>
            <w:tcW w:type="dxa" w:w="2076"/>
          </w:tcPr>
          <w:p>
            <w:pPr>
              <w:pStyle w:val="null3"/>
              <w:jc w:val="both"/>
            </w:pPr>
            <w:r>
              <w:rPr>
                <w:rFonts w:ascii="仿宋_GB2312" w:hAnsi="仿宋_GB2312" w:cs="仿宋_GB2312" w:eastAsia="仿宋_GB2312"/>
                <w:sz w:val="24"/>
              </w:rPr>
              <w:t>计价依据《陕西省建设工程工程量清单计价规则》（</w:t>
            </w:r>
            <w:r>
              <w:rPr>
                <w:rFonts w:ascii="仿宋_GB2312" w:hAnsi="仿宋_GB2312" w:cs="仿宋_GB2312" w:eastAsia="仿宋_GB2312"/>
                <w:sz w:val="24"/>
              </w:rPr>
              <w:t>2009年）、《陕西省建筑装饰工程消耗量定额》（2004年）、《陕西省建筑装饰工程2009年价目表》、《陕西省安装工程价目表（2009）》、《全国修缮定额土建工程陕西省价目表》（2001年）、《陕西省园林绿化工程价目表2009》，《陕西省建设工程工程量清单计价费率(2009)》及配套费用定额、相关取费文件，报价以给定的工程量清单及现场情况自主编报。</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施工要求</w:t>
            </w:r>
          </w:p>
        </w:tc>
        <w:tc>
          <w:tcPr>
            <w:tcW w:type="dxa" w:w="2076"/>
          </w:tcPr>
          <w:p>
            <w:pPr>
              <w:pStyle w:val="null3"/>
              <w:jc w:val="both"/>
            </w:pPr>
            <w:r>
              <w:rPr>
                <w:rFonts w:ascii="仿宋_GB2312" w:hAnsi="仿宋_GB2312" w:cs="仿宋_GB2312" w:eastAsia="仿宋_GB2312"/>
                <w:sz w:val="24"/>
              </w:rPr>
              <w:t>在施工期间，中标供应商必须注意院内人员安全，加强安全措施，并对施工人员进行安全教育。施工人员必须持证上岗。因采购人工作的特殊性，要求中标供应商在施工中做到封闭性施工。</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工期</w:t>
            </w:r>
          </w:p>
        </w:tc>
        <w:tc>
          <w:tcPr>
            <w:tcW w:type="dxa" w:w="2076"/>
          </w:tcPr>
          <w:p>
            <w:pPr>
              <w:pStyle w:val="null3"/>
              <w:jc w:val="both"/>
            </w:pPr>
            <w:r>
              <w:rPr>
                <w:rFonts w:ascii="仿宋_GB2312" w:hAnsi="仿宋_GB2312" w:cs="仿宋_GB2312" w:eastAsia="仿宋_GB2312"/>
                <w:sz w:val="24"/>
              </w:rPr>
              <w:t>自进场之日起</w:t>
            </w:r>
            <w:r>
              <w:rPr>
                <w:rFonts w:ascii="仿宋_GB2312" w:hAnsi="仿宋_GB2312" w:cs="仿宋_GB2312" w:eastAsia="仿宋_GB2312"/>
                <w:sz w:val="24"/>
              </w:rPr>
              <w:t>30个日历日内竣工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现行的国家标准或国家行政部门颁布的法律法规、规章制度等，是项目验收的另一个重要依据。没有国家标准的，可以参考行业标准。《建筑电气工程施工质量验收规范》 GB50303-2015。</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前，须向采购代理机构提供纸质版响应文件3套（1正2副），U盘2份（包括响应文件的全部内容）且提供的响应文件必须与在陕西省政府采购综合管理平台的项目电子化交易系统中递交的电子响应文件内容一致，纸质版响应文件必须装订成册签字盖章。 2.本项目图纸与工程量清单不一致时以图纸为准。 3.暂列金额28000元，专业工程暂估价150000元。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2.财务状况报告：提供2023年度或2024年度经审计的财务报告（包括审计报告、资产负债表、利润表、现金流量表、所有者权益变动表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3.社会保障资金缴纳证明：提供响应文件递交截止时间前六个月内已缴存的至少一个月的社会保障资金缴纳凭证或证明，依法不需要缴纳社会保障资金的单位应提供相关证明材料； 4.税收缴纳证明：提供响应文件递交截止时间前六个月内已缴纳的至少一个月的纳税证明或完税证明，依法免税的单位应提供相关证明材料； 5.提供具有履行本合同所必需的设备和专业技术能力的声明；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供应商需在项目电子化交易系统中上传经审计2023年度或2024年度经审计的财务报告（包括审计报告、资产负债表、利润表、现金流量表、所有者权益变动表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供应商具有电力工程施工总承包三级及以上资质或输变电工程专业承包三级及以上资质，具有有效的安全生产许可证；且具备承装、承修、承试五级及以上承装（修、试）电力设施许可证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拟派项目经理须具备机电工程专业二级及以上建造师资格，具备有效的安全生产考核合格证（建安B证），在本单位注册且无在建项目（提供承诺书）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 合同条款响应</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施工主要材料</w:t>
            </w:r>
          </w:p>
        </w:tc>
        <w:tc>
          <w:tcPr>
            <w:tcW w:type="dxa" w:w="2492"/>
          </w:tcPr>
          <w:p>
            <w:pPr>
              <w:pStyle w:val="null3"/>
            </w:pPr>
            <w:r>
              <w:rPr>
                <w:rFonts w:ascii="仿宋_GB2312" w:hAnsi="仿宋_GB2312" w:cs="仿宋_GB2312" w:eastAsia="仿宋_GB2312"/>
              </w:rPr>
              <w:t>评审内容：质量标准符合行业和国家相关规定，完全符合项目需求，提供合法来源渠道证明文件(包括但不限于产品销售协议、代理协议或原厂授权等)，完全符合采购需求的得4分;提供证明文件有缺陷（缺陷是指：证明文件不完整，质量标准基本符合采购要求）扣0.1-3.9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评审内容：①劳动力计划②主要材料供应计划：以上内容切合本项目实际情况及实施要求，内容与要点相符、每个要点均有展开详细的阐述且能够适用于本项目的得8分；评审内容任意一项缺项扣4分； 评审内容有缺陷（缺陷是指：劳动力计划安排不合理、主要材料供应计划不满足项目需求、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切合本项目实际情况，方案详细有针对性得5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评审内容：①施工进度计划②确保工期的技术措施：以上内容切合本项目实际情况及实施要求，内容与要点相符、每个要点均有展开详细的阐述且能够适用于本项目的得8分；评审内容任意一项缺项扣4分； 评审内容有缺陷（缺陷是指：进度计划安排不合理、措施内容简单、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以上内容切合本项目实际情况及实施要求，内容与要点相符、每个要点均有展开详细的阐述且能够适用于本项目的得10分；评审内容任意一项缺项扣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针对本项目有详细的售后服务方案：以上内容符合本项目实际情况及实施要求，内容与要点相符，能够适用于本项目的得6分；评审内容有缺陷（缺陷是指：内容粗略、逻辑混乱、描述过于简单、与项目特点不匹配、凭空编造、逻辑漏洞、出现常识性错误、套用其他项目方案、存在不可能实现的夸大情形或存在不适用项目实际情况的情形）扣0.1-5.9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工程质量的保障措施及承诺</w:t>
            </w:r>
          </w:p>
        </w:tc>
        <w:tc>
          <w:tcPr>
            <w:tcW w:type="dxa" w:w="2492"/>
          </w:tcPr>
          <w:p>
            <w:pPr>
              <w:pStyle w:val="null3"/>
            </w:pPr>
            <w:r>
              <w:rPr>
                <w:rFonts w:ascii="仿宋_GB2312" w:hAnsi="仿宋_GB2312" w:cs="仿宋_GB2312" w:eastAsia="仿宋_GB2312"/>
              </w:rPr>
              <w:t>评审内容：①工程质量保障措施；②工程质量相关承诺：以上内容符合本项目实际情况及实施要求，内容与要点相符、每个要点均有展开详细的阐述且能够适用于本项目的得8分；评审内容任意一项缺项或只有标题没有实质性内容扣4分，扣完为止；评审内容有缺陷（缺陷是指：内容粗略、逻辑混乱、描述过于简单、与项目特点不匹配、凭空编造、逻辑漏洞、出现常识性错误、套用其他项目方案、存在不可能实现的夸大情形或存在不适用项目实际情况的情形）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供应商2022年1月至今类似项目业绩；每提供1份计1分，最高得5分。业绩证明（以合同或中标/成交通知书为准，须在磋商响应文件中附以上证明材料的扫描件加盖单位公章，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