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鄠邑区2024年度秦岭生态环境保护智慧管控系统网络服务</w:t>
      </w:r>
    </w:p>
    <w:p>
      <w:pPr>
        <w:pStyle w:val="null3"/>
        <w:jc w:val="center"/>
        <w:outlineLvl w:val="2"/>
      </w:pPr>
      <w:r>
        <w:rPr>
          <w:b/>
          <w:sz w:val="28"/>
        </w:rPr>
        <w:t>采购项目编号：</w:t>
      </w:r>
      <w:r>
        <w:rPr>
          <w:b/>
          <w:sz w:val="28"/>
        </w:rPr>
        <w:t>HJCS2401-081</w:t>
      </w:r>
      <w:r>
        <w:br/>
      </w:r>
      <w:r>
        <w:br/>
      </w:r>
      <w:r>
        <w:br/>
      </w:r>
    </w:p>
    <w:p>
      <w:pPr>
        <w:pStyle w:val="null3"/>
        <w:jc w:val="center"/>
        <w:outlineLvl w:val="2"/>
      </w:pPr>
      <w:r>
        <w:rPr>
          <w:b/>
          <w:sz w:val="28"/>
        </w:rPr>
        <w:t>西安市鄠邑秦岭生态环境保护和综合执法局（区林业局）</w:t>
      </w:r>
    </w:p>
    <w:p>
      <w:pPr>
        <w:pStyle w:val="null3"/>
        <w:jc w:val="center"/>
        <w:outlineLvl w:val="2"/>
      </w:pPr>
      <w:r>
        <w:rPr>
          <w:b/>
          <w:sz w:val="28"/>
        </w:rPr>
        <w:t>陕西海佳项目管理有限公司</w:t>
      </w:r>
      <w:r>
        <w:rPr>
          <w:b/>
          <w:sz w:val="28"/>
        </w:rPr>
        <w:t>共同编制</w:t>
      </w:r>
    </w:p>
    <w:p>
      <w:pPr>
        <w:pStyle w:val="null3"/>
        <w:jc w:val="center"/>
        <w:outlineLvl w:val="2"/>
      </w:pPr>
      <w:r>
        <w:rPr>
          <w:b/>
          <w:sz w:val="28"/>
        </w:rPr>
        <w:t>2024年04月16日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陕西海佳项目管理有限公司</w:t>
      </w:r>
      <w:r>
        <w:rPr/>
        <w:t>（以下简称“代理机构”）受</w:t>
      </w:r>
      <w:r>
        <w:rPr/>
        <w:t>西安市鄠邑秦岭生态环境保护和综合执法局（区林业局）</w:t>
      </w:r>
      <w:r>
        <w:rPr/>
        <w:t>委托，拟对</w:t>
      </w:r>
      <w:r>
        <w:rPr/>
        <w:t>鄠邑区2024年度秦岭生态环境保护智慧管控系统网络服务</w:t>
      </w:r>
      <w:r>
        <w:rPr/>
        <w:t>采用竞争性磋商采购方式进行采购，兹邀请供应商参加本项目的竞争性磋商。</w:t>
      </w:r>
    </w:p>
    <w:p>
      <w:pPr>
        <w:pStyle w:val="null3"/>
        <w:outlineLvl w:val="2"/>
      </w:pPr>
      <w:r>
        <w:rPr>
          <w:b/>
          <w:sz w:val="28"/>
        </w:rPr>
        <w:t>一、项目编号：</w:t>
      </w:r>
      <w:r>
        <w:rPr>
          <w:b/>
          <w:sz w:val="28"/>
        </w:rPr>
        <w:t>HJCS2401-081</w:t>
      </w:r>
    </w:p>
    <w:p>
      <w:pPr>
        <w:pStyle w:val="null3"/>
        <w:outlineLvl w:val="2"/>
      </w:pPr>
      <w:r>
        <w:rPr>
          <w:b/>
          <w:sz w:val="28"/>
        </w:rPr>
        <w:t>二、项目名称：</w:t>
      </w:r>
      <w:r>
        <w:rPr>
          <w:b/>
          <w:sz w:val="28"/>
        </w:rPr>
        <w:t>鄠邑区2024年度秦岭生态环境保护智慧管控系统网络服务</w:t>
      </w:r>
    </w:p>
    <w:p>
      <w:pPr>
        <w:pStyle w:val="null3"/>
        <w:outlineLvl w:val="2"/>
      </w:pPr>
      <w:r>
        <w:rPr>
          <w:b/>
          <w:sz w:val="28"/>
        </w:rPr>
        <w:t>三、磋商项目简介</w:t>
      </w:r>
    </w:p>
    <w:p>
      <w:pPr>
        <w:pStyle w:val="null3"/>
        <w:ind w:firstLine="480"/>
      </w:pPr>
      <w:r>
        <w:rPr/>
        <w:t>西安市鄠邑区秦岭生态环境保护智慧管控系统于2020年建设完成并投入使用。自2020年完成建设以来，已经累计运营时间超过36个月，项目所用使用网络传输服务已到期。为了智慧管控系统的正常运转，本次采购各系统相关设备所用的组网网络传输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t>2、良好的商业信誉和健全的财务会计制度：2022或2023年度经审计的财务报告或在2023年9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t>3、有依法缴纳税收和社会保障资金的良好记录：提供2023年9月1日至今任意时段的缴纳证明，依法免税或不需要缴纳社会保障资金的投标人须提供相应证明文件，供应商需在项目电子化交易系统中按要求上传相应证明文件并进行电子签章。</w:t>
      </w:r>
    </w:p>
    <w:p>
      <w:pPr>
        <w:pStyle w:val="null3"/>
      </w:pPr>
      <w:r>
        <w:rPr/>
        <w:t>4、书面声明：①参加本次政府采购活动前三年内在经营活动中没有重大违纪，以及未被列入失信被执行人、重大税收违法失信主体、政府采购严重违法失信行为记录名单的书面声明；②提供具有履行本合同所必需的设备和专业技术能力的声明；供应商需在项目电子化交易系统中按要求上传相应证明文件并进行电子签章。</w:t>
      </w:r>
    </w:p>
    <w:p>
      <w:pPr>
        <w:pStyle w:val="null3"/>
      </w:pPr>
      <w:r>
        <w:rPr/>
        <w:t>5、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t>6、供应商企业关系关联及联合体说明：①本项目不接受联合体磋商； ②单位负责人为同一人或者存在直接控股、管理关系的不同供应商，不得参加同一合同项下的政府采购活动； 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西安市鄠邑秦岭生态环境保护和综合执法局（区林业局）</w:t>
      </w:r>
    </w:p>
    <w:p>
      <w:pPr>
        <w:pStyle w:val="null3"/>
      </w:pPr>
      <w:r>
        <w:rPr/>
        <w:t xml:space="preserve"> 地址： </w:t>
      </w:r>
      <w:r>
        <w:rPr/>
        <w:t>鄠邑区沣京路42号</w:t>
      </w:r>
    </w:p>
    <w:p>
      <w:pPr>
        <w:pStyle w:val="null3"/>
      </w:pPr>
      <w:r>
        <w:rPr/>
        <w:t xml:space="preserve"> 邮编： </w:t>
      </w:r>
      <w:r>
        <w:rPr/>
        <w:t>710300</w:t>
      </w:r>
    </w:p>
    <w:p>
      <w:pPr>
        <w:pStyle w:val="null3"/>
      </w:pPr>
      <w:r>
        <w:rPr/>
        <w:t xml:space="preserve"> 联系人： </w:t>
      </w:r>
      <w:r>
        <w:rPr/>
        <w:t>乔鑫豪</w:t>
      </w:r>
    </w:p>
    <w:p>
      <w:pPr>
        <w:pStyle w:val="null3"/>
      </w:pPr>
      <w:r>
        <w:rPr/>
        <w:t xml:space="preserve"> 联系电话： </w:t>
      </w:r>
      <w:r>
        <w:rPr/>
        <w:t>84886181</w:t>
      </w:r>
    </w:p>
    <w:p>
      <w:pPr>
        <w:pStyle w:val="null3"/>
        <w:outlineLvl w:val="3"/>
      </w:pPr>
      <w:r>
        <w:rPr>
          <w:b/>
          <w:sz w:val="24"/>
        </w:rPr>
        <w:t>代理机构：</w:t>
      </w:r>
      <w:r>
        <w:rPr>
          <w:b/>
          <w:sz w:val="24"/>
        </w:rPr>
        <w:t>陕西海佳项目管理有限公司</w:t>
      </w:r>
    </w:p>
    <w:p>
      <w:pPr>
        <w:pStyle w:val="null3"/>
      </w:pPr>
      <w:r>
        <w:rPr/>
        <w:t xml:space="preserve"> 地址： </w:t>
      </w:r>
      <w:r>
        <w:rPr/>
        <w:t>陕西省西安市雁塔区西安市高新区唐延路35号旺座现代城C座2604室</w:t>
      </w:r>
    </w:p>
    <w:p>
      <w:pPr>
        <w:pStyle w:val="null3"/>
      </w:pPr>
      <w:r>
        <w:rPr/>
        <w:t xml:space="preserve"> 邮编： </w:t>
      </w:r>
      <w:r>
        <w:rPr/>
        <w:t>710000</w:t>
      </w:r>
    </w:p>
    <w:p>
      <w:pPr>
        <w:pStyle w:val="null3"/>
      </w:pPr>
      <w:r>
        <w:rPr/>
        <w:t xml:space="preserve"> 联系人： </w:t>
      </w:r>
      <w:r>
        <w:rPr/>
        <w:t>姚博怀</w:t>
      </w:r>
    </w:p>
    <w:p>
      <w:pPr>
        <w:pStyle w:val="null3"/>
      </w:pPr>
      <w:r>
        <w:rPr/>
        <w:t xml:space="preserve"> 联系电话： </w:t>
      </w:r>
      <w:r>
        <w:rPr/>
        <w:t>029-88765319</w:t>
      </w:r>
    </w:p>
    <w:p>
      <w:pPr>
        <w:pStyle w:val="null3"/>
        <w:outlineLvl w:val="3"/>
      </w:pPr>
      <w:r>
        <w:rPr>
          <w:b/>
          <w:sz w:val="24"/>
        </w:rPr>
        <w:t>采购监督机构：</w:t>
      </w:r>
      <w:r>
        <w:rPr>
          <w:b/>
          <w:sz w:val="24"/>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代理服务费收费标准：依据《国家计委关于印发&lt;招标代理服务收费管理暂行办法&gt;的通知》（计价格【2002】1980号）标准下浮10%收取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西安市鄠邑秦岭生态环境保护和综合执法局（区林业局）</w:t>
      </w:r>
      <w:r>
        <w:rPr/>
        <w:t>和</w:t>
      </w:r>
      <w:r>
        <w:rPr/>
        <w:t>陕西海佳项目管理有限公司</w:t>
      </w:r>
      <w:r>
        <w:rPr/>
        <w:t>享有。对磋商文件中供应商参加本次政府采购活动应当具备的条件，磋商项目技术、服务、商务及其他要求，评审细则及标准由</w:t>
      </w:r>
      <w:r>
        <w:rPr/>
        <w:t>西安市鄠邑秦岭生态环境保护和综合执法局（区林业局）</w:t>
      </w:r>
      <w:r>
        <w:rPr/>
        <w:t>负责解释。除上述磋商文件内容，其他内容由</w:t>
      </w:r>
      <w:r>
        <w:rPr/>
        <w:t>陕西海佳项目管理有限公司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西安市鄠邑秦岭生态环境保护和综合执法局（区林业局）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陕西海佳项目管理有限公司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中标通知书发布5个工作日内服务全面开通、平台运营稳定，前端接入在线率达到95%、应急响应速度达到要求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陕西海佳项目管理有限公司</w:t>
      </w:r>
      <w:r>
        <w:rPr/>
        <w:t xml:space="preserve"> 负责答复；供应商对除采购需求外的采购文件的询问、质疑由</w:t>
      </w:r>
      <w:r>
        <w:rPr/>
        <w:t>陕西海佳项目管理有限公司</w:t>
      </w:r>
      <w:r>
        <w:rPr/>
        <w:t xml:space="preserve"> 负责答复；供应商对采购过程、采购结果的询问、质疑由 </w:t>
      </w:r>
      <w:r>
        <w:rPr/>
        <w:t>陕西海佳项目管理有限公司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联系人：姚博怀</w:t>
      </w:r>
    </w:p>
    <w:p>
      <w:pPr>
        <w:pStyle w:val="null3"/>
      </w:pPr>
      <w:r>
        <w:rPr/>
        <w:t>联系电话：02988765319</w:t>
      </w:r>
    </w:p>
    <w:p>
      <w:pPr>
        <w:pStyle w:val="null3"/>
      </w:pPr>
      <w:r>
        <w:rPr/>
        <w:t>地址：陕西省西安市雁塔区西安市高新区唐延路35号旺座现代城C座2604室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西安市鄠邑区秦岭生态环境保护智慧管控系统于2020年建设完成并投入使用。自2020 年完成建设以来，已经累计运营时间超过36个月，项目所用使用网络传输服务已到期。为了智慧管控系统的正常运转，本次采购各系统相关设备所用的光纤专线、组网网络传输服务。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660,000.00</w:t>
      </w:r>
    </w:p>
    <w:p>
      <w:pPr>
        <w:pStyle w:val="null3"/>
      </w:pPr>
      <w:r>
        <w:rPr/>
        <w:t>采购包最高限价（元）: 660,000.00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网络服务</w:t>
            </w:r>
          </w:p>
        </w:tc>
        <w:tc>
          <w:tcPr>
            <w:tcW w:type="dxa" w:w="831"/>
          </w:tcPr>
          <w:p>
            <w:pPr>
              <w:pStyle w:val="null3"/>
              <w:jc w:val="right"/>
            </w:pPr>
            <w:r>
              <w:rPr/>
              <w:t>1.00</w:t>
            </w:r>
          </w:p>
        </w:tc>
        <w:tc>
          <w:tcPr>
            <w:tcW w:type="dxa" w:w="831"/>
          </w:tcPr>
          <w:p>
            <w:pPr>
              <w:pStyle w:val="null3"/>
              <w:jc w:val="right"/>
            </w:pPr>
            <w:r>
              <w:rPr/>
              <w:t>660,000.00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标的名称：网络服务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left="480"/>
              <w:jc w:val="both"/>
            </w:pPr>
            <w:r>
              <w:rPr>
                <w:rFonts w:ascii="宋体" w:hAnsi="宋体" w:cs="宋体" w:eastAsia="宋体"/>
                <w:color w:val="000000"/>
                <w:sz w:val="24"/>
              </w:rPr>
              <w:t>1.</w:t>
            </w:r>
            <w:r>
              <w:rPr>
                <w:rFonts w:ascii="宋体" w:hAnsi="宋体" w:cs="宋体" w:eastAsia="宋体"/>
                <w:color w:val="000000"/>
                <w:sz w:val="24"/>
              </w:rPr>
              <w:t>开通时限：自合同签订之日起5个工作日内开通。</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color w:val="000000"/>
                <w:sz w:val="24"/>
              </w:rPr>
              <w:t xml:space="preserve"> 2.</w:t>
            </w:r>
            <w:r>
              <w:rPr>
                <w:rFonts w:ascii="宋体" w:hAnsi="宋体" w:cs="宋体" w:eastAsia="宋体"/>
                <w:color w:val="000000"/>
                <w:sz w:val="24"/>
              </w:rPr>
              <w:t>服务期：自线路开通之日起1年。</w:t>
            </w:r>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6"/>
              <w:gridCol w:w="324"/>
              <w:gridCol w:w="216"/>
              <w:gridCol w:w="238"/>
              <w:gridCol w:w="1169"/>
              <w:gridCol w:w="351"/>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采购内容</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数量</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单位</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技术参数与性能指标</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rFonts w:ascii="宋体" w:hAnsi="宋体" w:cs="宋体" w:eastAsia="宋体"/>
                      <w:sz w:val="24"/>
                    </w:rPr>
                    <w:t>备注</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光纤专线</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条</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rFonts w:ascii="宋体" w:hAnsi="宋体" w:cs="宋体" w:eastAsia="宋体"/>
                      <w:sz w:val="24"/>
                    </w:rPr>
                    <w:t>300</w:t>
                  </w:r>
                  <w:r>
                    <w:rPr>
                      <w:rFonts w:ascii="宋体" w:hAnsi="宋体" w:cs="宋体" w:eastAsia="宋体"/>
                      <w:sz w:val="24"/>
                    </w:rPr>
                    <w:t>兆互联网光纤，提供一组（4个）固定公网ip地址，</w:t>
                  </w:r>
                  <w:r>
                    <w:rPr>
                      <w:rFonts w:ascii="宋体" w:hAnsi="宋体" w:cs="宋体" w:eastAsia="宋体"/>
                      <w:sz w:val="24"/>
                    </w:rPr>
                    <w:t>实现高速接入</w:t>
                  </w:r>
                  <w:r>
                    <w:rPr>
                      <w:rFonts w:ascii="宋体" w:hAnsi="宋体" w:cs="宋体" w:eastAsia="宋体"/>
                      <w:sz w:val="24"/>
                    </w:rPr>
                    <w:t>，</w:t>
                  </w:r>
                  <w:r>
                    <w:rPr>
                      <w:rFonts w:ascii="宋体" w:hAnsi="宋体" w:cs="宋体" w:eastAsia="宋体"/>
                      <w:sz w:val="24"/>
                    </w:rPr>
                    <w:t>能够保证带宽不稀释、出口无瓶颈，在带宽</w:t>
                  </w:r>
                  <w:r>
                    <w:rPr>
                      <w:rFonts w:ascii="宋体" w:hAnsi="宋体" w:cs="宋体" w:eastAsia="宋体"/>
                      <w:sz w:val="24"/>
                    </w:rPr>
                    <w:t>QoS</w:t>
                  </w:r>
                  <w:r>
                    <w:rPr>
                      <w:rFonts w:ascii="宋体" w:hAnsi="宋体" w:cs="宋体" w:eastAsia="宋体"/>
                      <w:sz w:val="24"/>
                    </w:rPr>
                    <w:t>和时延等方面有良好的保证</w:t>
                  </w:r>
                  <w:r>
                    <w:rPr>
                      <w:rFonts w:ascii="宋体" w:hAnsi="宋体" w:cs="宋体" w:eastAsia="宋体"/>
                      <w:sz w:val="24"/>
                    </w:rPr>
                    <w:t>；</w:t>
                  </w:r>
                  <w:r>
                    <w:rPr>
                      <w:rFonts w:ascii="宋体" w:hAnsi="宋体" w:cs="宋体" w:eastAsia="宋体"/>
                      <w:sz w:val="24"/>
                    </w:rPr>
                    <w:t>提供的互联网出口数据链路带宽为独占带宽上联至运营商网络，网速不受宽带使用高峰期的影响，网速稳定优质</w:t>
                  </w:r>
                  <w:r>
                    <w:rPr>
                      <w:rFonts w:ascii="宋体" w:hAnsi="宋体" w:cs="宋体" w:eastAsia="宋体"/>
                      <w:sz w:val="24"/>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rFonts w:ascii="宋体" w:hAnsi="宋体" w:cs="宋体" w:eastAsia="宋体"/>
                      <w:sz w:val="24"/>
                    </w:rPr>
                    <w:t>含接入终端</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组网专线</w:t>
                  </w:r>
                  <w:r>
                    <w:rPr>
                      <w:rFonts w:ascii="宋体" w:hAnsi="宋体" w:cs="宋体" w:eastAsia="宋体"/>
                      <w:sz w:val="24"/>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1</w:t>
                  </w:r>
                  <w:r>
                    <w:rPr>
                      <w:rFonts w:ascii="宋体" w:hAnsi="宋体" w:cs="宋体" w:eastAsia="宋体"/>
                      <w:sz w:val="24"/>
                    </w:rPr>
                    <w:t>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条</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30</w:t>
                  </w:r>
                  <w:r>
                    <w:rPr>
                      <w:rFonts w:ascii="宋体" w:hAnsi="宋体" w:cs="宋体" w:eastAsia="宋体"/>
                      <w:sz w:val="24"/>
                    </w:rPr>
                    <w:t>兆专线电路，接入节点分别建立“端－端”全程数字传输链路，各接入节点机房全部以光纤接入为基础的全程专线电路。</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rFonts w:ascii="宋体" w:hAnsi="宋体" w:cs="宋体" w:eastAsia="宋体"/>
                      <w:sz w:val="24"/>
                    </w:rPr>
                    <w:t>含接入终端</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组网专线</w:t>
                  </w:r>
                  <w:r>
                    <w:rPr>
                      <w:rFonts w:ascii="宋体" w:hAnsi="宋体" w:cs="宋体" w:eastAsia="宋体"/>
                      <w:sz w:val="24"/>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35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条</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rFonts w:ascii="宋体" w:hAnsi="宋体" w:cs="宋体" w:eastAsia="宋体"/>
                      <w:sz w:val="24"/>
                    </w:rPr>
                    <w:t>提供速率不低于30兆的视频传输专线。</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rFonts w:ascii="宋体" w:hAnsi="宋体" w:cs="宋体" w:eastAsia="宋体"/>
                      <w:sz w:val="24"/>
                    </w:rPr>
                    <w:t>含接入终端</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千兆宽带</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sz w:val="24"/>
                    </w:rPr>
                    <w:t>条</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rFonts w:ascii="宋体" w:hAnsi="宋体" w:cs="宋体" w:eastAsia="宋体"/>
                      <w:sz w:val="24"/>
                    </w:rPr>
                    <w:t>提供千兆宽带基于</w:t>
                  </w:r>
                  <w:r>
                    <w:rPr>
                      <w:rFonts w:ascii="宋体" w:hAnsi="宋体" w:cs="宋体" w:eastAsia="宋体"/>
                      <w:sz w:val="24"/>
                    </w:rPr>
                    <w:t>运营商</w:t>
                  </w:r>
                  <w:r>
                    <w:rPr>
                      <w:rFonts w:ascii="宋体" w:hAnsi="宋体" w:cs="宋体" w:eastAsia="宋体"/>
                      <w:sz w:val="24"/>
                    </w:rPr>
                    <w:t>网络，提供上下行非对称速率、动态</w:t>
                  </w:r>
                  <w:r>
                    <w:rPr>
                      <w:rFonts w:ascii="宋体" w:hAnsi="宋体" w:cs="宋体" w:eastAsia="宋体"/>
                      <w:sz w:val="24"/>
                    </w:rPr>
                    <w:t>IP</w:t>
                  </w:r>
                  <w:r>
                    <w:rPr>
                      <w:rFonts w:ascii="宋体" w:hAnsi="宋体" w:cs="宋体" w:eastAsia="宋体"/>
                      <w:sz w:val="24"/>
                    </w:rPr>
                    <w:t>地址的互联网接入服务。</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pPr>
                  <w:r>
                    <w:rPr>
                      <w:rFonts w:ascii="宋体" w:hAnsi="宋体" w:cs="宋体" w:eastAsia="宋体"/>
                      <w:sz w:val="24"/>
                    </w:rPr>
                    <w:t>含接入终端</w:t>
                  </w:r>
                </w:p>
              </w:tc>
            </w:tr>
          </w:tbl>
          <w:p/>
        </w:tc>
      </w:tr>
      <w:tr>
        <w:tc>
          <w:tcPr>
            <w:tcW w:type="dxa" w:w="2769"/>
          </w:tcPr>
          <w:p/>
        </w:tc>
        <w:tc>
          <w:tcPr>
            <w:tcW w:type="dxa" w:w="2769"/>
          </w:tcPr>
          <w:p>
            <w:pPr>
              <w:pStyle w:val="null3"/>
            </w:pPr>
            <w:r>
              <w:rPr/>
              <w:t>4</w:t>
            </w:r>
          </w:p>
        </w:tc>
        <w:tc>
          <w:tcPr>
            <w:tcW w:type="dxa" w:w="2769"/>
          </w:tcPr>
          <w:p>
            <w:pPr>
              <w:pStyle w:val="null3"/>
              <w:numPr>
                <w:ilvl w:val="0"/>
                <w:numId w:val="1"/>
              </w:numPr>
              <w:spacing w:before="255" w:after="255"/>
              <w:jc w:val="both"/>
            </w:pPr>
            <w:r>
              <w:rPr>
                <w:rFonts w:ascii="宋体" w:hAnsi="宋体" w:cs="宋体" w:eastAsia="宋体"/>
                <w:sz w:val="28"/>
              </w:rPr>
              <w:t>应急保障需求</w:t>
            </w:r>
          </w:p>
          <w:p>
            <w:pPr>
              <w:pStyle w:val="null3"/>
              <w:ind w:firstLine="480"/>
              <w:jc w:val="both"/>
            </w:pPr>
            <w:r>
              <w:rPr>
                <w:rFonts w:ascii="宋体" w:hAnsi="宋体" w:cs="宋体" w:eastAsia="宋体"/>
                <w:b/>
                <w:color w:val="000000"/>
                <w:sz w:val="24"/>
              </w:rPr>
              <w:t>1</w:t>
            </w:r>
            <w:r>
              <w:rPr>
                <w:rFonts w:ascii="宋体" w:hAnsi="宋体" w:cs="宋体" w:eastAsia="宋体"/>
                <w:b/>
                <w:color w:val="000000"/>
                <w:sz w:val="24"/>
              </w:rPr>
              <w:t>、故障响应时间不超过30分钟，故障解决时间不超过4小时（不可抗力除外）。</w:t>
            </w:r>
          </w:p>
          <w:p>
            <w:pPr>
              <w:pStyle w:val="null3"/>
              <w:ind w:firstLine="480"/>
              <w:jc w:val="both"/>
            </w:pPr>
            <w:r>
              <w:rPr>
                <w:rFonts w:ascii="宋体" w:hAnsi="宋体" w:cs="宋体" w:eastAsia="宋体"/>
                <w:b/>
                <w:color w:val="000000"/>
                <w:sz w:val="24"/>
              </w:rPr>
              <w:t>2</w:t>
            </w:r>
            <w:r>
              <w:rPr>
                <w:rFonts w:ascii="宋体" w:hAnsi="宋体" w:cs="宋体" w:eastAsia="宋体"/>
                <w:b/>
                <w:color w:val="000000"/>
                <w:sz w:val="24"/>
              </w:rPr>
              <w:t>、必须有专人负责本项目工作，受理故障维修及业务沟通。</w:t>
            </w:r>
          </w:p>
          <w:p>
            <w:pPr>
              <w:pStyle w:val="null3"/>
              <w:ind w:firstLine="480"/>
              <w:jc w:val="both"/>
            </w:pPr>
            <w:r>
              <w:rPr>
                <w:rFonts w:ascii="宋体" w:hAnsi="宋体" w:cs="宋体" w:eastAsia="宋体"/>
                <w:b/>
                <w:color w:val="000000"/>
                <w:sz w:val="24"/>
              </w:rPr>
              <w:t>3</w:t>
            </w:r>
            <w:r>
              <w:rPr>
                <w:rFonts w:ascii="宋体" w:hAnsi="宋体" w:cs="宋体" w:eastAsia="宋体"/>
                <w:b/>
                <w:color w:val="000000"/>
                <w:sz w:val="24"/>
              </w:rPr>
              <w:t>、如设备、线路出现故障需维修时，应提供免费更换或维修服务，确保应有权益。</w:t>
            </w:r>
          </w:p>
          <w:p>
            <w:pPr>
              <w:pStyle w:val="null3"/>
              <w:ind w:firstLine="480"/>
              <w:jc w:val="both"/>
            </w:pPr>
            <w:r>
              <w:rPr>
                <w:rFonts w:ascii="宋体" w:hAnsi="宋体" w:cs="宋体" w:eastAsia="宋体"/>
                <w:b/>
                <w:color w:val="000000"/>
                <w:sz w:val="24"/>
              </w:rPr>
              <w:t>4</w:t>
            </w:r>
            <w:r>
              <w:rPr>
                <w:rFonts w:ascii="宋体" w:hAnsi="宋体" w:cs="宋体" w:eastAsia="宋体"/>
                <w:b/>
                <w:color w:val="000000"/>
                <w:sz w:val="24"/>
              </w:rPr>
              <w:t>、正式运行之后，提供7×24小时的故障排除响应。</w:t>
            </w:r>
          </w:p>
        </w:tc>
      </w:tr>
      <w:tr>
        <w:tc>
          <w:tcPr>
            <w:tcW w:type="dxa" w:w="2769"/>
          </w:tcPr>
          <w:p/>
        </w:tc>
        <w:tc>
          <w:tcPr>
            <w:tcW w:type="dxa" w:w="2769"/>
          </w:tcPr>
          <w:p>
            <w:pPr>
              <w:pStyle w:val="null3"/>
            </w:pPr>
            <w:r>
              <w:rPr/>
              <w:t>5</w:t>
            </w:r>
          </w:p>
        </w:tc>
        <w:tc>
          <w:tcPr>
            <w:tcW w:type="dxa" w:w="2769"/>
          </w:tcPr>
          <w:p>
            <w:pPr>
              <w:pStyle w:val="null3"/>
              <w:spacing w:before="255" w:after="255"/>
              <w:jc w:val="both"/>
            </w:pPr>
            <w:r>
              <w:rPr>
                <w:rFonts w:ascii="宋体" w:hAnsi="宋体" w:cs="宋体" w:eastAsia="宋体"/>
                <w:sz w:val="28"/>
              </w:rPr>
              <w:t>链路指标技术要求</w:t>
            </w:r>
          </w:p>
          <w:p>
            <w:pPr>
              <w:pStyle w:val="null3"/>
              <w:ind w:firstLine="480"/>
              <w:jc w:val="both"/>
            </w:pPr>
            <w:r>
              <w:rPr>
                <w:rFonts w:ascii="宋体" w:hAnsi="宋体" w:cs="宋体" w:eastAsia="宋体"/>
                <w:sz w:val="24"/>
              </w:rPr>
              <w:t>1.</w:t>
            </w:r>
            <w:r>
              <w:rPr>
                <w:rFonts w:ascii="宋体" w:hAnsi="宋体" w:cs="宋体" w:eastAsia="宋体"/>
                <w:sz w:val="24"/>
              </w:rPr>
              <w:t>实现高速接入，能够保证带宽不稀释、出口无瓶颈，在带宽QoS和时延等方面有良好的保证；</w:t>
            </w:r>
          </w:p>
          <w:p>
            <w:pPr>
              <w:pStyle w:val="null3"/>
              <w:ind w:firstLine="480"/>
              <w:jc w:val="both"/>
            </w:pPr>
            <w:r>
              <w:rPr>
                <w:rFonts w:ascii="宋体" w:hAnsi="宋体" w:cs="宋体" w:eastAsia="宋体"/>
                <w:sz w:val="24"/>
              </w:rPr>
              <w:t xml:space="preserve">2. </w:t>
            </w:r>
            <w:r>
              <w:rPr>
                <w:rFonts w:ascii="宋体" w:hAnsi="宋体" w:cs="宋体" w:eastAsia="宋体"/>
                <w:sz w:val="24"/>
              </w:rPr>
              <w:t>提供的互联网出口数据链路带宽为独占带宽上联至运营商网络，网速不受宽带使用高峰期的影响，网速稳定优质。连接至运营商网关设备接入段线路的传输比特差错率≤10</w:t>
            </w:r>
            <w:r>
              <w:rPr>
                <w:rFonts w:ascii="宋体" w:hAnsi="宋体" w:cs="宋体" w:eastAsia="宋体"/>
                <w:sz w:val="24"/>
                <w:vertAlign w:val="superscript"/>
              </w:rPr>
              <w:t>-7</w:t>
            </w:r>
            <w:r>
              <w:rPr>
                <w:rFonts w:ascii="宋体" w:hAnsi="宋体" w:cs="宋体" w:eastAsia="宋体"/>
                <w:sz w:val="24"/>
              </w:rPr>
              <w:t>，平均时延≤20ms,平均丢包率≤0.5%，平均抖动≤30ms，线路可用性≤99.9%；</w:t>
            </w:r>
          </w:p>
          <w:p>
            <w:pPr>
              <w:pStyle w:val="null3"/>
              <w:ind w:firstLine="480"/>
              <w:jc w:val="both"/>
            </w:pPr>
            <w:r>
              <w:rPr>
                <w:rFonts w:ascii="宋体" w:hAnsi="宋体" w:cs="宋体" w:eastAsia="宋体"/>
                <w:sz w:val="24"/>
              </w:rPr>
              <w:t xml:space="preserve">3. </w:t>
            </w:r>
            <w:r>
              <w:rPr>
                <w:rFonts w:ascii="宋体" w:hAnsi="宋体" w:cs="宋体" w:eastAsia="宋体"/>
                <w:sz w:val="24"/>
              </w:rPr>
              <w:t>互联网光纤接口根据客户需求可提供电口以及光口，支持SFP、SFP+等灵活接口模块类型，带宽可平滑升速；</w:t>
            </w:r>
          </w:p>
          <w:p>
            <w:pPr>
              <w:pStyle w:val="null3"/>
              <w:ind w:firstLine="480"/>
              <w:jc w:val="both"/>
            </w:pPr>
            <w:r>
              <w:rPr>
                <w:rFonts w:ascii="宋体" w:hAnsi="宋体" w:cs="宋体" w:eastAsia="宋体"/>
                <w:sz w:val="24"/>
              </w:rPr>
              <w:t xml:space="preserve">4. </w:t>
            </w:r>
            <w:r>
              <w:rPr>
                <w:rFonts w:ascii="宋体" w:hAnsi="宋体" w:cs="宋体" w:eastAsia="宋体"/>
                <w:sz w:val="24"/>
              </w:rPr>
              <w:t>所提供的光缆为单模光缆1.31μM的损耗不超过0.4db/KM。所提供的出口链路衰减不超过16db；</w:t>
            </w:r>
          </w:p>
          <w:p>
            <w:pPr>
              <w:pStyle w:val="null3"/>
              <w:spacing w:after="120"/>
              <w:ind w:firstLine="480"/>
              <w:jc w:val="both"/>
            </w:pPr>
            <w:r>
              <w:rPr>
                <w:rFonts w:ascii="宋体" w:hAnsi="宋体" w:cs="宋体" w:eastAsia="宋体"/>
                <w:sz w:val="24"/>
              </w:rPr>
              <w:t>5.</w:t>
            </w:r>
            <w:r>
              <w:rPr>
                <w:rFonts w:ascii="宋体" w:hAnsi="宋体" w:cs="宋体" w:eastAsia="宋体"/>
                <w:sz w:val="24"/>
              </w:rPr>
              <w:t>拥有完善的售后运维服务体系，提供7*24小时售后技术支撑，响应时间≤30min，到达现场时间≤2h，故障修复时间≤4h。</w:t>
            </w:r>
          </w:p>
        </w:tc>
      </w:tr>
      <w:tr>
        <w:tc>
          <w:tcPr>
            <w:tcW w:type="dxa" w:w="2769"/>
          </w:tcPr>
          <w:p/>
        </w:tc>
        <w:tc>
          <w:tcPr>
            <w:tcW w:type="dxa" w:w="2769"/>
          </w:tcPr>
          <w:p>
            <w:pPr>
              <w:pStyle w:val="null3"/>
            </w:pPr>
            <w:r>
              <w:rPr/>
              <w:t>6</w:t>
            </w:r>
          </w:p>
        </w:tc>
        <w:tc>
          <w:tcPr>
            <w:tcW w:type="dxa" w:w="2769"/>
          </w:tcPr>
          <w:p>
            <w:pPr>
              <w:pStyle w:val="null3"/>
              <w:ind w:firstLine="480"/>
              <w:jc w:val="both"/>
            </w:pPr>
            <w:r>
              <w:rPr>
                <w:rFonts w:ascii="宋体" w:hAnsi="宋体" w:cs="宋体" w:eastAsia="宋体"/>
                <w:b/>
                <w:sz w:val="24"/>
              </w:rPr>
              <w:t>组网专线</w:t>
            </w:r>
            <w:r>
              <w:rPr>
                <w:rFonts w:ascii="arial, sans-serif" w:hAnsi="arial, sans-serif" w:cs="arial, sans-serif" w:eastAsia="arial, sans-serif"/>
                <w:b/>
                <w:sz w:val="24"/>
              </w:rPr>
              <w:t>1</w:t>
            </w:r>
          </w:p>
          <w:p>
            <w:pPr>
              <w:pStyle w:val="null3"/>
              <w:ind w:firstLine="480"/>
              <w:jc w:val="both"/>
            </w:pPr>
            <w:r>
              <w:rPr>
                <w:rFonts w:ascii="宋体" w:hAnsi="宋体" w:cs="宋体" w:eastAsia="宋体"/>
                <w:sz w:val="24"/>
              </w:rPr>
              <w:t>1.</w:t>
            </w:r>
            <w:r>
              <w:rPr>
                <w:rFonts w:ascii="宋体" w:hAnsi="宋体" w:cs="宋体" w:eastAsia="宋体"/>
                <w:sz w:val="24"/>
              </w:rPr>
              <w:t>提供的电路核心节点所在传输网络实现冗余保护；提供双电源、双设备保护；</w:t>
            </w:r>
          </w:p>
          <w:p>
            <w:pPr>
              <w:pStyle w:val="null3"/>
              <w:ind w:firstLine="480"/>
              <w:jc w:val="both"/>
            </w:pPr>
            <w:r>
              <w:rPr>
                <w:rFonts w:ascii="宋体" w:hAnsi="宋体" w:cs="宋体" w:eastAsia="宋体"/>
                <w:sz w:val="24"/>
              </w:rPr>
              <w:t>2.</w:t>
            </w:r>
            <w:r>
              <w:rPr>
                <w:rFonts w:ascii="宋体" w:hAnsi="宋体" w:cs="宋体" w:eastAsia="宋体"/>
                <w:sz w:val="24"/>
              </w:rPr>
              <w:t>端到端的电路误码率≤1×10</w:t>
            </w:r>
            <w:r>
              <w:rPr>
                <w:rFonts w:ascii="宋体" w:hAnsi="宋体" w:cs="宋体" w:eastAsia="宋体"/>
                <w:sz w:val="24"/>
                <w:vertAlign w:val="superscript"/>
              </w:rPr>
              <w:t>-7</w:t>
            </w:r>
            <w:r>
              <w:rPr>
                <w:rFonts w:ascii="宋体" w:hAnsi="宋体" w:cs="宋体" w:eastAsia="宋体"/>
                <w:sz w:val="24"/>
              </w:rPr>
              <w:t>，端到端的电路传输时延小于≤（10+0.01G）毫秒，G为传输距离，单位KM，电路年可用率≤99.9%；</w:t>
            </w:r>
          </w:p>
          <w:p>
            <w:pPr>
              <w:pStyle w:val="null3"/>
              <w:ind w:firstLine="480"/>
              <w:jc w:val="both"/>
            </w:pPr>
            <w:r>
              <w:rPr>
                <w:rFonts w:ascii="宋体" w:hAnsi="宋体" w:cs="宋体" w:eastAsia="宋体"/>
                <w:sz w:val="24"/>
              </w:rPr>
              <w:t>3.</w:t>
            </w:r>
            <w:r>
              <w:rPr>
                <w:rFonts w:ascii="宋体" w:hAnsi="宋体" w:cs="宋体" w:eastAsia="宋体"/>
                <w:sz w:val="24"/>
              </w:rPr>
              <w:t>专线电路应为全程自愈环，光缆线路单点故障业务保护倒换时间应≤50ms；</w:t>
            </w:r>
          </w:p>
          <w:p>
            <w:pPr>
              <w:pStyle w:val="null3"/>
              <w:ind w:firstLine="480"/>
              <w:jc w:val="both"/>
            </w:pPr>
            <w:r>
              <w:rPr>
                <w:rFonts w:ascii="宋体" w:hAnsi="宋体" w:cs="宋体" w:eastAsia="宋体"/>
                <w:sz w:val="24"/>
              </w:rPr>
              <w:t>4.</w:t>
            </w:r>
            <w:r>
              <w:rPr>
                <w:rFonts w:ascii="宋体" w:hAnsi="宋体" w:cs="宋体" w:eastAsia="宋体"/>
                <w:sz w:val="24"/>
              </w:rPr>
              <w:t>提供全网的系统时钟标准，并提出实施全网统一的时钟配置；</w:t>
            </w:r>
          </w:p>
          <w:p>
            <w:pPr>
              <w:pStyle w:val="null3"/>
              <w:ind w:firstLine="480"/>
              <w:jc w:val="both"/>
            </w:pPr>
            <w:r>
              <w:rPr>
                <w:rFonts w:ascii="宋体" w:hAnsi="宋体" w:cs="宋体" w:eastAsia="宋体"/>
                <w:sz w:val="24"/>
              </w:rPr>
              <w:t>5.</w:t>
            </w:r>
            <w:r>
              <w:rPr>
                <w:rFonts w:ascii="宋体" w:hAnsi="宋体" w:cs="宋体" w:eastAsia="宋体"/>
                <w:sz w:val="24"/>
              </w:rPr>
              <w:t>接口根据客户需求可提供电口以及光口，支持SFP、SFP+等灵活接口模块类型，带宽可平滑升速；</w:t>
            </w:r>
          </w:p>
          <w:p>
            <w:pPr>
              <w:pStyle w:val="null3"/>
              <w:ind w:firstLine="480"/>
              <w:jc w:val="both"/>
            </w:pPr>
            <w:r>
              <w:rPr>
                <w:rFonts w:ascii="宋体" w:hAnsi="宋体" w:cs="宋体" w:eastAsia="宋体"/>
                <w:sz w:val="24"/>
              </w:rPr>
              <w:t>6.</w:t>
            </w:r>
            <w:r>
              <w:rPr>
                <w:rFonts w:ascii="宋体" w:hAnsi="宋体" w:cs="宋体" w:eastAsia="宋体"/>
                <w:sz w:val="24"/>
              </w:rPr>
              <w:t>拥有完善的售后运维服务体系，提供7*24小时售后技术支撑，响应时间≤30min，到达现场时间≤2h，故障修复时间≤4h；</w:t>
            </w:r>
          </w:p>
        </w:tc>
      </w:tr>
      <w:tr>
        <w:tc>
          <w:tcPr>
            <w:tcW w:type="dxa" w:w="2769"/>
          </w:tcPr>
          <w:p>
            <w:pPr>
              <w:pStyle w:val="null3"/>
            </w:pPr>
            <w:r>
              <w:rPr/>
              <w:t>▲</w:t>
            </w:r>
          </w:p>
        </w:tc>
        <w:tc>
          <w:tcPr>
            <w:tcW w:type="dxa" w:w="2769"/>
          </w:tcPr>
          <w:p>
            <w:pPr>
              <w:pStyle w:val="null3"/>
            </w:pPr>
            <w:r>
              <w:rPr/>
              <w:t>7</w:t>
            </w:r>
          </w:p>
        </w:tc>
        <w:tc>
          <w:tcPr>
            <w:tcW w:type="dxa" w:w="2769"/>
          </w:tcPr>
          <w:p>
            <w:pPr>
              <w:pStyle w:val="null3"/>
              <w:spacing w:after="120"/>
              <w:ind w:firstLine="480"/>
              <w:jc w:val="both"/>
            </w:pPr>
            <w:r>
              <w:rPr>
                <w:rFonts w:ascii="宋体" w:hAnsi="宋体" w:cs="宋体" w:eastAsia="宋体"/>
                <w:sz w:val="24"/>
              </w:rPr>
              <w:t>7.▲</w:t>
            </w:r>
            <w:r>
              <w:rPr>
                <w:rFonts w:ascii="宋体" w:hAnsi="宋体" w:cs="宋体" w:eastAsia="宋体"/>
                <w:sz w:val="24"/>
              </w:rPr>
              <w:t>具备电路自服务网管能力，监控电路实时情况。</w:t>
            </w:r>
          </w:p>
        </w:tc>
      </w:tr>
      <w:tr>
        <w:tc>
          <w:tcPr>
            <w:tcW w:type="dxa" w:w="2769"/>
          </w:tcPr>
          <w:p>
            <w:pPr>
              <w:pStyle w:val="null3"/>
            </w:pPr>
            <w:r>
              <w:rPr/>
              <w:t>▲</w:t>
            </w:r>
          </w:p>
        </w:tc>
        <w:tc>
          <w:tcPr>
            <w:tcW w:type="dxa" w:w="2769"/>
          </w:tcPr>
          <w:p>
            <w:pPr>
              <w:pStyle w:val="null3"/>
            </w:pPr>
            <w:r>
              <w:rPr/>
              <w:t>8</w:t>
            </w:r>
          </w:p>
        </w:tc>
        <w:tc>
          <w:tcPr>
            <w:tcW w:type="dxa" w:w="2769"/>
          </w:tcPr>
          <w:p>
            <w:pPr>
              <w:pStyle w:val="null3"/>
              <w:numPr>
                <w:ilvl w:val="0"/>
                <w:numId w:val="1"/>
              </w:numPr>
            </w:pPr>
            <w:r>
              <w:rPr/>
              <w:t xml:space="preserve"> </w:t>
            </w:r>
          </w:p>
          <w:p>
            <w:pPr>
              <w:pStyle w:val="null3"/>
              <w:spacing w:before="255" w:after="255"/>
              <w:jc w:val="both"/>
            </w:pPr>
            <w:r>
              <w:rPr>
                <w:rFonts w:ascii="宋体" w:hAnsi="宋体" w:cs="宋体" w:eastAsia="宋体"/>
                <w:sz w:val="24"/>
              </w:rPr>
              <w:t>组网专线</w:t>
            </w:r>
            <w:r>
              <w:rPr>
                <w:rFonts w:ascii="arial, sans-serif" w:hAnsi="arial, sans-serif" w:cs="arial, sans-serif" w:eastAsia="arial, sans-serif"/>
                <w:sz w:val="24"/>
              </w:rPr>
              <w:t>2</w:t>
            </w:r>
          </w:p>
          <w:p>
            <w:pPr>
              <w:pStyle w:val="null3"/>
              <w:jc w:val="both"/>
            </w:pPr>
            <w:r>
              <w:rPr>
                <w:rFonts w:ascii="宋体" w:hAnsi="宋体" w:cs="宋体" w:eastAsia="宋体"/>
                <w:sz w:val="24"/>
              </w:rPr>
              <w:t xml:space="preserve">  1、专线提供的设备需支持BGP、OSPF动态路由协议，支持链路聚合以实现多个物理接口绑定为一个逻辑接口使用；</w:t>
            </w:r>
          </w:p>
          <w:p>
            <w:pPr>
              <w:pStyle w:val="null3"/>
              <w:spacing w:after="120"/>
              <w:ind w:firstLine="480"/>
              <w:jc w:val="both"/>
            </w:pPr>
            <w:r>
              <w:rPr>
                <w:rFonts w:ascii="宋体" w:hAnsi="宋体" w:cs="宋体" w:eastAsia="宋体"/>
                <w:sz w:val="24"/>
              </w:rPr>
              <w:t xml:space="preserve">  2、▲</w:t>
            </w:r>
            <w:r>
              <w:rPr>
                <w:rFonts w:ascii="宋体" w:hAnsi="宋体" w:cs="宋体" w:eastAsia="宋体"/>
                <w:sz w:val="24"/>
              </w:rPr>
              <w:t>专线提供的设备需支持DNS转发功能。支持将指定的域名转发至指定的DNS服务器进行解析；</w:t>
            </w:r>
          </w:p>
          <w:p>
            <w:pPr>
              <w:pStyle w:val="null3"/>
              <w:jc w:val="both"/>
            </w:pPr>
            <w:r>
              <w:rPr>
                <w:rFonts w:ascii="宋体" w:hAnsi="宋体" w:cs="宋体" w:eastAsia="宋体"/>
                <w:sz w:val="24"/>
              </w:rPr>
              <w:t xml:space="preserve">  3、▲</w:t>
            </w:r>
            <w:r>
              <w:rPr>
                <w:rFonts w:ascii="宋体" w:hAnsi="宋体" w:cs="宋体" w:eastAsia="宋体"/>
                <w:sz w:val="24"/>
              </w:rPr>
              <w:t>站点之间支持基于互联网的二层互联，简化用户配置及对用户网络设备的要求，同时满足部分仅支持二层互联的业务场景需求；</w:t>
            </w:r>
          </w:p>
          <w:p>
            <w:pPr>
              <w:pStyle w:val="null3"/>
              <w:jc w:val="both"/>
            </w:pPr>
            <w:r>
              <w:rPr>
                <w:rFonts w:ascii="宋体" w:hAnsi="宋体" w:cs="宋体" w:eastAsia="宋体"/>
                <w:sz w:val="24"/>
              </w:rPr>
              <w:t xml:space="preserve">  4、专线提供的设备需支持配置HA双机热备及集群式部署，避免因设备单机故障导致网络业务中断；</w:t>
            </w:r>
          </w:p>
          <w:p>
            <w:pPr>
              <w:pStyle w:val="null3"/>
              <w:jc w:val="both"/>
            </w:pPr>
            <w:r>
              <w:rPr>
                <w:rFonts w:ascii="宋体" w:hAnsi="宋体" w:cs="宋体" w:eastAsia="宋体"/>
                <w:sz w:val="24"/>
              </w:rPr>
              <w:t xml:space="preserve">  5、▲</w:t>
            </w:r>
            <w:r>
              <w:rPr>
                <w:rFonts w:ascii="宋体" w:hAnsi="宋体" w:cs="宋体" w:eastAsia="宋体"/>
                <w:sz w:val="24"/>
              </w:rPr>
              <w:t>多链路接入时，专线提供的设备需要支持多发选收的多路冗余传输能力，可保障在发生链路切换时网络质量敏感类业务（例如：视频会议）依然能够正常传输，无卡顿、马赛克及中断现象；</w:t>
            </w:r>
          </w:p>
          <w:p>
            <w:pPr>
              <w:pStyle w:val="null3"/>
              <w:jc w:val="both"/>
            </w:pPr>
            <w:r>
              <w:rPr>
                <w:rFonts w:ascii="宋体" w:hAnsi="宋体" w:cs="宋体" w:eastAsia="宋体"/>
                <w:sz w:val="24"/>
              </w:rPr>
              <w:t xml:space="preserve">  6、多链路接入时，专线提供的设备支持专用链路功能，可为指定应用配置专用链路，以保障核心业务（如视频会议）传输质量。在该指定应用有流量使用其专用链路期间，其它应用无法使用该专用链路传输流量；在该指定应用不使用其专用链路时，专用链路资源可被释放给其它应用使用；</w:t>
            </w:r>
          </w:p>
          <w:p>
            <w:pPr>
              <w:pStyle w:val="null3"/>
              <w:jc w:val="both"/>
            </w:pPr>
            <w:r>
              <w:rPr>
                <w:rFonts w:ascii="宋体" w:hAnsi="宋体" w:cs="宋体" w:eastAsia="宋体"/>
                <w:sz w:val="24"/>
              </w:rPr>
              <w:t xml:space="preserve">  7、专线提供的设备需支持智能QoS功能，以保障重要业务系统优先使用带宽资源；</w:t>
            </w:r>
          </w:p>
          <w:p>
            <w:pPr>
              <w:pStyle w:val="null3"/>
              <w:jc w:val="both"/>
            </w:pPr>
            <w:r>
              <w:rPr>
                <w:rFonts w:ascii="宋体" w:hAnsi="宋体" w:cs="宋体" w:eastAsia="宋体"/>
                <w:sz w:val="24"/>
              </w:rPr>
              <w:t xml:space="preserve">  8、▲</w:t>
            </w:r>
            <w:r>
              <w:rPr>
                <w:rFonts w:ascii="宋体" w:hAnsi="宋体" w:cs="宋体" w:eastAsia="宋体"/>
                <w:sz w:val="24"/>
              </w:rPr>
              <w:t>专线提供的设备控制器须提供审计功能（应含NAT审计功能），对网络使用的合规性进行审查，审计功能输出内容应包括但不限于每个访问请求的源IP、源端口、目标IP或目标域名、目标端口、协议、访问发起时间及NAT转换记录，且必须能导出PDF格式报告；</w:t>
            </w:r>
          </w:p>
          <w:p>
            <w:pPr>
              <w:pStyle w:val="null3"/>
              <w:jc w:val="both"/>
            </w:pPr>
            <w:r>
              <w:rPr>
                <w:rFonts w:ascii="宋体" w:hAnsi="宋体" w:cs="宋体" w:eastAsia="宋体"/>
                <w:sz w:val="24"/>
              </w:rPr>
              <w:t xml:space="preserve">  9、▲</w:t>
            </w:r>
            <w:r>
              <w:rPr>
                <w:rFonts w:ascii="宋体" w:hAnsi="宋体" w:cs="宋体" w:eastAsia="宋体"/>
                <w:sz w:val="24"/>
              </w:rPr>
              <w:t>专线提供的设备需支持基于S/N序列号校验的可信入网，确保未知设备无法入网，提高入网安全性；</w:t>
            </w:r>
          </w:p>
          <w:p>
            <w:pPr>
              <w:pStyle w:val="null3"/>
              <w:jc w:val="both"/>
            </w:pPr>
            <w:r>
              <w:rPr>
                <w:rFonts w:ascii="宋体" w:hAnsi="宋体" w:cs="宋体" w:eastAsia="宋体"/>
                <w:sz w:val="24"/>
              </w:rPr>
              <w:t xml:space="preserve">  10、▲</w:t>
            </w:r>
            <w:r>
              <w:rPr>
                <w:rFonts w:ascii="宋体" w:hAnsi="宋体" w:cs="宋体" w:eastAsia="宋体"/>
                <w:sz w:val="24"/>
              </w:rPr>
              <w:t>专线提供的设备需支持与其他网络设备进行MAC绑定，在上联设备发生变化时，设备可自动变更为不可用状态，以避免设备被窃取使用；在下联设备发生变化时，设备可拒绝下联设备入网，以杜绝安全隐患；</w:t>
            </w:r>
          </w:p>
          <w:p>
            <w:pPr>
              <w:pStyle w:val="null3"/>
              <w:jc w:val="both"/>
            </w:pPr>
            <w:r>
              <w:rPr>
                <w:rFonts w:ascii="宋体" w:hAnsi="宋体" w:cs="宋体" w:eastAsia="宋体"/>
                <w:sz w:val="24"/>
              </w:rPr>
              <w:t xml:space="preserve">  11、服务商所提供的专线提供的设备网络服务需支持集中管理平台对全网进行可视化管理，可通过平台对专线提供的设备设备及软件客户端进行统一策略配置及下发，减轻维护工作量；</w:t>
            </w:r>
          </w:p>
          <w:p>
            <w:pPr>
              <w:pStyle w:val="null3"/>
              <w:jc w:val="both"/>
            </w:pPr>
            <w:r>
              <w:rPr>
                <w:rFonts w:ascii="宋体" w:hAnsi="宋体" w:cs="宋体" w:eastAsia="宋体"/>
                <w:sz w:val="24"/>
              </w:rPr>
              <w:t xml:space="preserve">  12、服务商所提供的专线提供的设备网络服务需提供大屏展示功能，支持将当前网络拓扑结构及相关监控和告警信息投影在大屏上进行显示，且能够通过API接口与其他运维管理平台对接。</w:t>
            </w:r>
          </w:p>
          <w:p>
            <w:pPr>
              <w:pStyle w:val="null3"/>
              <w:spacing w:before="255" w:after="255"/>
              <w:jc w:val="both"/>
            </w:pPr>
            <w:r>
              <w:rPr>
                <w:rFonts w:ascii="宋体" w:hAnsi="宋体" w:cs="宋体" w:eastAsia="宋体"/>
                <w:b/>
                <w:sz w:val="24"/>
              </w:rPr>
              <w:t>千兆宽带</w:t>
            </w:r>
          </w:p>
          <w:p>
            <w:pPr>
              <w:pStyle w:val="null3"/>
              <w:ind w:firstLine="480"/>
              <w:jc w:val="both"/>
            </w:pPr>
            <w:r>
              <w:rPr>
                <w:rFonts w:ascii="宋体" w:hAnsi="宋体" w:cs="宋体" w:eastAsia="宋体"/>
                <w:sz w:val="24"/>
              </w:rPr>
              <w:t>1、提供千兆宽带基于运营商网络，提供上下行非对称速率、动态</w:t>
            </w:r>
            <w:r>
              <w:rPr>
                <w:rFonts w:ascii="calibri, sans-serif" w:hAnsi="calibri, sans-serif" w:cs="calibri, sans-serif" w:eastAsia="calibri, sans-serif"/>
                <w:sz w:val="24"/>
              </w:rPr>
              <w:t>IP</w:t>
            </w:r>
            <w:r>
              <w:rPr>
                <w:rFonts w:ascii="宋体" w:hAnsi="宋体" w:cs="宋体" w:eastAsia="宋体"/>
                <w:sz w:val="24"/>
              </w:rPr>
              <w:t>地址的互联网接入服务。通过</w:t>
            </w:r>
            <w:r>
              <w:rPr>
                <w:rFonts w:ascii="calibri, sans-serif" w:hAnsi="calibri, sans-serif" w:cs="calibri, sans-serif" w:eastAsia="calibri, sans-serif"/>
                <w:sz w:val="24"/>
              </w:rPr>
              <w:t>PON</w:t>
            </w:r>
            <w:r>
              <w:rPr>
                <w:rFonts w:ascii="宋体" w:hAnsi="宋体" w:cs="宋体" w:eastAsia="宋体"/>
                <w:sz w:val="24"/>
              </w:rPr>
              <w:t>网络接入，在</w:t>
            </w:r>
            <w:r>
              <w:rPr>
                <w:rFonts w:ascii="calibri, sans-serif" w:hAnsi="calibri, sans-serif" w:cs="calibri, sans-serif" w:eastAsia="calibri, sans-serif"/>
                <w:sz w:val="24"/>
              </w:rPr>
              <w:t>PPPoE</w:t>
            </w:r>
            <w:r>
              <w:rPr>
                <w:rFonts w:ascii="宋体" w:hAnsi="宋体" w:cs="宋体" w:eastAsia="宋体"/>
                <w:sz w:val="24"/>
              </w:rPr>
              <w:t>拨号和用户名</w:t>
            </w:r>
            <w:r>
              <w:rPr>
                <w:rFonts w:ascii="calibri, sans-serif" w:hAnsi="calibri, sans-serif" w:cs="calibri, sans-serif" w:eastAsia="calibri, sans-serif"/>
                <w:sz w:val="24"/>
              </w:rPr>
              <w:t>/</w:t>
            </w:r>
            <w:r>
              <w:rPr>
                <w:rFonts w:ascii="宋体" w:hAnsi="宋体" w:cs="宋体" w:eastAsia="宋体"/>
                <w:sz w:val="24"/>
              </w:rPr>
              <w:t>密码认证通过后，获得动态</w:t>
            </w:r>
            <w:r>
              <w:rPr>
                <w:rFonts w:ascii="calibri, sans-serif" w:hAnsi="calibri, sans-serif" w:cs="calibri, sans-serif" w:eastAsia="calibri, sans-serif"/>
                <w:sz w:val="24"/>
              </w:rPr>
              <w:t>IP</w:t>
            </w:r>
            <w:r>
              <w:rPr>
                <w:rFonts w:ascii="宋体" w:hAnsi="宋体" w:cs="宋体" w:eastAsia="宋体"/>
                <w:sz w:val="24"/>
              </w:rPr>
              <w:t>地址，访问互联网。</w:t>
            </w:r>
          </w:p>
          <w:p>
            <w:pPr>
              <w:pStyle w:val="null3"/>
            </w:pPr>
          </w:p>
        </w:tc>
      </w:tr>
    </w:tbl>
    <w:p>
      <w:pPr>
        <w:pStyle w:val="null3"/>
        <w:outlineLvl w:val="2"/>
      </w:pPr>
      <w:r>
        <w:rPr>
          <w:b/>
          <w:sz w:val="28"/>
        </w:rPr>
        <w:t>3.2.3人员配置要求</w:t>
      </w:r>
    </w:p>
    <w:p>
      <w:pPr>
        <w:pStyle w:val="null3"/>
      </w:pPr>
      <w:r>
        <w:rPr/>
        <w:t>采购包1：</w:t>
      </w:r>
    </w:p>
    <w:p>
      <w:pPr>
        <w:pStyle w:val="null3"/>
      </w:pPr>
      <w:r>
        <w:rPr/>
        <w:t>满足项目要求，供应商根据单位自身及项目实际情况自主配置</w:t>
      </w:r>
    </w:p>
    <w:p>
      <w:pPr>
        <w:pStyle w:val="null3"/>
        <w:outlineLvl w:val="2"/>
      </w:pPr>
      <w:r>
        <w:rPr>
          <w:b/>
          <w:sz w:val="28"/>
        </w:rPr>
        <w:t>3.2.4设施设备要求</w:t>
      </w:r>
    </w:p>
    <w:p>
      <w:pPr>
        <w:pStyle w:val="null3"/>
      </w:pPr>
      <w:r>
        <w:rPr/>
        <w:t>采购包1：</w:t>
      </w:r>
    </w:p>
    <w:p>
      <w:pPr>
        <w:pStyle w:val="null3"/>
      </w:pPr>
      <w:r>
        <w:rPr/>
        <w:t>满足项目要求，供应商根据单位自身及项目实际情况自主配置</w:t>
      </w:r>
    </w:p>
    <w:p>
      <w:pPr>
        <w:pStyle w:val="null3"/>
        <w:outlineLvl w:val="2"/>
      </w:pPr>
      <w:r>
        <w:rPr>
          <w:b/>
          <w:sz w:val="28"/>
        </w:rPr>
        <w:t>3.2.5其他要求</w:t>
      </w:r>
    </w:p>
    <w:p>
      <w:pPr>
        <w:pStyle w:val="null3"/>
      </w:pPr>
      <w:r>
        <w:rPr/>
        <w:t>采购包1：</w:t>
      </w:r>
    </w:p>
    <w:p>
      <w:pPr>
        <w:pStyle w:val="null3"/>
      </w:pPr>
      <w:r>
        <w:rPr/>
        <w:t>满足项目要求，供应商根据单位自身及项目实际情况自主配置</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西安市鄠邑区</w:t>
      </w:r>
    </w:p>
    <w:p>
      <w:pPr>
        <w:pStyle w:val="null3"/>
        <w:outlineLvl w:val="3"/>
      </w:pPr>
      <w:r>
        <w:rPr>
          <w:b/>
          <w:sz w:val="24"/>
        </w:rPr>
        <w:t>3.3.3考核（验收）标准和方法</w:t>
      </w:r>
    </w:p>
    <w:p>
      <w:pPr>
        <w:pStyle w:val="null3"/>
      </w:pPr>
      <w:r>
        <w:rPr/>
        <w:t>采购包1：</w:t>
      </w:r>
    </w:p>
    <w:p>
      <w:pPr>
        <w:pStyle w:val="null3"/>
      </w:pPr>
      <w:r>
        <w:rPr/>
        <w:t>成交通知书发布后，5个工作日内全面开通交付，并保障整系统的安全稳定运行。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合同签订后，完成第一季度任务后</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完成第二季度任务后</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完成第三季度任务后</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完成第四季度任务后</w:t>
      </w:r>
      <w:r>
        <w:rPr/>
        <w:t xml:space="preserve"> ，达到付款条件起 </w:t>
      </w:r>
      <w:r>
        <w:rPr/>
        <w:t>15</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终止合同，保留进一步追究履约责任的权利</w:t>
      </w:r>
    </w:p>
    <w:p>
      <w:pPr>
        <w:pStyle w:val="null3"/>
        <w:outlineLvl w:val="2"/>
      </w:pPr>
      <w:r>
        <w:rPr>
          <w:b/>
          <w:sz w:val="28"/>
        </w:rPr>
        <w:t>3.4其他要求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 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相关资格证明材料</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独立承担民事责任的能力</w:t>
            </w:r>
          </w:p>
        </w:tc>
        <w:tc>
          <w:tcPr>
            <w:tcW w:type="dxa" w:w="3322"/>
          </w:tcPr>
          <w:p>
            <w:pPr>
              <w:pStyle w:val="null3"/>
            </w:pPr>
            <w:r>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2</w:t>
            </w:r>
          </w:p>
        </w:tc>
        <w:tc>
          <w:tcPr>
            <w:tcW w:type="dxa" w:w="2492"/>
          </w:tcPr>
          <w:p>
            <w:pPr>
              <w:pStyle w:val="null3"/>
            </w:pPr>
            <w:r>
              <w:rPr/>
              <w:t>良好的商业信誉和健全的财务会计制度</w:t>
            </w:r>
          </w:p>
        </w:tc>
        <w:tc>
          <w:tcPr>
            <w:tcW w:type="dxa" w:w="3322"/>
          </w:tcPr>
          <w:p>
            <w:pPr>
              <w:pStyle w:val="null3"/>
            </w:pPr>
            <w:r>
              <w:rPr/>
              <w:t>2022或2023年度经审计的财务报告或在2023年9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有依法缴纳税收和社会保障资金的良好记录</w:t>
            </w:r>
          </w:p>
        </w:tc>
        <w:tc>
          <w:tcPr>
            <w:tcW w:type="dxa" w:w="3322"/>
          </w:tcPr>
          <w:p>
            <w:pPr>
              <w:pStyle w:val="null3"/>
            </w:pPr>
            <w:r>
              <w:rPr/>
              <w:t>提供2023年9月1日至今任意时段的缴纳证明，依法免税或不需要缴纳社会保障资金的投标人须提供相应证明文件，供应商需在项目电子化交易系统中按要求上传相应证明文件并进行电子签章。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①参加本次政府采购活动前三年内在经营活动中没有重大违纪，以及未被列入失信被执行人、重大税收违法失信主体、政府采购严重违法失信行为记录名单的书面声明；②提供具有履行本合同所必需的设备和专业技术能力的声明；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5</w:t>
            </w:r>
          </w:p>
        </w:tc>
        <w:tc>
          <w:tcPr>
            <w:tcW w:type="dxa" w:w="2492"/>
          </w:tcPr>
          <w:p>
            <w:pPr>
              <w:pStyle w:val="null3"/>
            </w:pPr>
            <w:r>
              <w:rPr/>
              <w:t>法律、行政法规规定的其他条件</w:t>
            </w:r>
          </w:p>
        </w:tc>
        <w:tc>
          <w:tcPr>
            <w:tcW w:type="dxa" w:w="3322"/>
          </w:tcPr>
          <w:p>
            <w:pPr>
              <w:pStyle w:val="null3"/>
            </w:pPr>
            <w:r>
              <w:rPr/>
              <w:t>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t>商务应答表 相关资格证明材料</w:t>
            </w:r>
          </w:p>
        </w:tc>
      </w:tr>
      <w:tr>
        <w:tc>
          <w:tcPr>
            <w:tcW w:type="dxa" w:w="831"/>
          </w:tcPr>
          <w:p>
            <w:pPr>
              <w:pStyle w:val="null3"/>
            </w:pPr>
            <w:r>
              <w:rPr/>
              <w:t>6</w:t>
            </w:r>
          </w:p>
        </w:tc>
        <w:tc>
          <w:tcPr>
            <w:tcW w:type="dxa" w:w="2492"/>
          </w:tcPr>
          <w:p>
            <w:pPr>
              <w:pStyle w:val="null3"/>
            </w:pPr>
            <w:r>
              <w:rPr/>
              <w:t>供应商企业关系关联及联合体说明</w:t>
            </w:r>
          </w:p>
        </w:tc>
        <w:tc>
          <w:tcPr>
            <w:tcW w:type="dxa" w:w="3322"/>
          </w:tcPr>
          <w:p>
            <w:pPr>
              <w:pStyle w:val="null3"/>
            </w:pPr>
            <w:r>
              <w:rPr/>
              <w:t>①本项目不接受联合体磋商； ②单位负责人为同一人或者存在直接控股、管理关系的不同供应商，不得参加同一合同项下的政府采购活动；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t>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服务方案完备、科学可行，服务措施有保证，期限符合要求（包含但不限于现状及需求描述，网络接入方案、服务流程）。方案详尽、全面，可实施性强，得15分，方案较为详尽、全面，具有一定可操作性，得10分；方案基本完整，有基本的操作性，得5分；方案不够详尽、全面，不具有可操作性，得2分；不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技术响应</w:t>
            </w:r>
          </w:p>
        </w:tc>
        <w:tc>
          <w:tcPr>
            <w:tcW w:type="dxa" w:w="2492"/>
          </w:tcPr>
          <w:p>
            <w:pPr>
              <w:pStyle w:val="null3"/>
            </w:pPr>
            <w:r>
              <w:rPr/>
              <w:t>所提供服务参数于采购要求完全符合、满足磋商文件技术要求的计8分；▲号项为重要技术指标每出现一项负偏离或未提供佐证材料扣 1 分；非▲号项每出现一项负偏离扣0.5分。（注：提供佐证材料：包括不限于产品技术资料、检验报告、产品说明书、产品彩页、官网截图、照片实物等证明文件，未提供视为不满足，扣去相应分数。），扣完为止。</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服务方案响应格式</w:t>
            </w:r>
          </w:p>
        </w:tc>
      </w:tr>
      <w:tr>
        <w:tc>
          <w:tcPr>
            <w:tcW w:type="dxa" w:w="831"/>
            <w:vMerge/>
          </w:tcPr>
          <w:p/>
        </w:tc>
        <w:tc>
          <w:tcPr>
            <w:tcW w:type="dxa" w:w="1661"/>
          </w:tcPr>
          <w:p>
            <w:pPr>
              <w:pStyle w:val="null3"/>
            </w:pPr>
            <w:r>
              <w:rPr/>
              <w:t>培训</w:t>
            </w:r>
          </w:p>
        </w:tc>
        <w:tc>
          <w:tcPr>
            <w:tcW w:type="dxa" w:w="2492"/>
          </w:tcPr>
          <w:p>
            <w:pPr>
              <w:pStyle w:val="null3"/>
            </w:pPr>
            <w:r>
              <w:rPr/>
              <w:t>需提供详细、可行的培训方案，内容包括但不限于培训目标、培训内容、培训组织等； 方案内容齐全、目标明确，能够完全满足采购文件要求得5分； 方案基本完整计3分； 方案有漏项，重点不突出，基本满足采购文件要求计2分；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服务质量保证措施及进度保障方案</w:t>
            </w:r>
          </w:p>
        </w:tc>
        <w:tc>
          <w:tcPr>
            <w:tcW w:type="dxa" w:w="2492"/>
          </w:tcPr>
          <w:p>
            <w:pPr>
              <w:pStyle w:val="null3"/>
            </w:pPr>
            <w:r>
              <w:rPr/>
              <w:t>服务质量保证措施及进度保障方案。 方案内容齐全、目标明确，能够完全满足采购文件要求且提供合理的维护内容得7分； 方案基本完整、有基本的维护制度计4分； 方案有漏项，重点不突出，基本满足采购文件要求计2分； 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应急预案</w:t>
            </w:r>
          </w:p>
        </w:tc>
        <w:tc>
          <w:tcPr>
            <w:tcW w:type="dxa" w:w="2492"/>
          </w:tcPr>
          <w:p>
            <w:pPr>
              <w:pStyle w:val="null3"/>
            </w:pPr>
            <w:r>
              <w:rPr/>
              <w:t>投标人针对本项目制定应急预案，包括但不限于重保预案、人力保障、应急设备保障等。 方案科学、合理、内容完整、措施可行有效得10分； 方案内容不够详细、措施简单未贴合实际的得6分； 方案有缺失，内容笼统，措施可行性不高得3分；未提供不计分。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项目团队</w:t>
            </w:r>
          </w:p>
        </w:tc>
        <w:tc>
          <w:tcPr>
            <w:tcW w:type="dxa" w:w="2492"/>
          </w:tcPr>
          <w:p>
            <w:pPr>
              <w:pStyle w:val="null3"/>
            </w:pPr>
            <w:r>
              <w:rPr/>
              <w:t>供应商的项目服务团队人员应具备相应能力，有效保证项目顺利实施。 1、项目负责人：同时具有通信工程师以及CISP注册信息安全专业工程师证书；证书提供完整的得5分，证书不全的不得分。 2、技术工程师：同时具有CISP注册信息安全专业工程师证书及中级及以上技术职称；同时具备计1分，满分3分。 3、项目团队：服务团队人员具备高级技术职称，每提供一个得2分，满分12分。 （需提供人员自2023年9月1日以来任意一个月的缴纳社保的证明）</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服务方案响应格式</w:t>
            </w:r>
          </w:p>
          <w:p>
            <w:pPr>
              <w:pStyle w:val="null3"/>
            </w:pPr>
            <w:r>
              <w:rPr/>
              <w:t>项目组人员组成表</w:t>
            </w:r>
          </w:p>
          <w:p>
            <w:pPr>
              <w:pStyle w:val="null3"/>
            </w:pPr>
            <w:r>
              <w:rPr/>
              <w:t>项目负责人简历表</w:t>
            </w:r>
          </w:p>
        </w:tc>
      </w:tr>
      <w:tr>
        <w:tc>
          <w:tcPr>
            <w:tcW w:type="dxa" w:w="831"/>
            <w:vMerge/>
          </w:tcPr>
          <w:p/>
        </w:tc>
        <w:tc>
          <w:tcPr>
            <w:tcW w:type="dxa" w:w="1661"/>
          </w:tcPr>
          <w:p>
            <w:pPr>
              <w:pStyle w:val="null3"/>
            </w:pPr>
            <w:r>
              <w:rPr/>
              <w:t>业绩</w:t>
            </w:r>
          </w:p>
        </w:tc>
        <w:tc>
          <w:tcPr>
            <w:tcW w:type="dxa" w:w="2492"/>
          </w:tcPr>
          <w:p>
            <w:pPr>
              <w:pStyle w:val="null3"/>
            </w:pPr>
            <w:r>
              <w:rPr/>
              <w:t>提供类似项目业绩，须提中标通知书或合同协议书，每提供一份有效业绩得1分，满分得5分。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售后响应方案</w:t>
            </w:r>
          </w:p>
        </w:tc>
        <w:tc>
          <w:tcPr>
            <w:tcW w:type="dxa" w:w="2492"/>
          </w:tcPr>
          <w:p>
            <w:pPr>
              <w:pStyle w:val="null3"/>
            </w:pPr>
            <w:r>
              <w:rPr/>
              <w:t>基于对本项目的理解，应说明各类服务响应需求的响应时间、解决问题时间，以及售后响应服务内容、售后响应机制、响应支撑形式等内容，并针对以上内容提出具体响应方案。 服务响应方案完整、科学合理、切实可行计10分； 服务响应方案有缺项、实用性不强、不够合理计6分； 服务响应方案内容欠缺、空泛计3分；未提供不计分。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售后服务体系</w:t>
            </w:r>
          </w:p>
        </w:tc>
        <w:tc>
          <w:tcPr>
            <w:tcW w:type="dxa" w:w="2492"/>
          </w:tcPr>
          <w:p>
            <w:pPr>
              <w:pStyle w:val="null3"/>
            </w:pPr>
            <w:r>
              <w:rPr/>
              <w:t>具备完整的售后服务体系，能够从市-区县-街道实现纵向贯穿的技术支持、运维服务和保障能力。 ①供应商在本项目所涉及的区域及街道设有各级服务机构，且具备完善的本地化服务能力，能够对重大活动、事件提供重保服务。能够完全满足采购文件要求计10分 ②供应商在本项目所涉及的市级及区县级具备服务机构。能够完全满足采购文件要求计6分 ③供应商在本项目所涉及的市级区域具备服务机构。能够完全满足采购文件要求计3分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服务方案响应格式</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标基准价，其价格分为满分。其他供应商的价格分统一按照下列公式计算：磋商报价得分=(评标基准价／磋商报价)×10；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详见附件：业绩一览表</w:t>
      </w:r>
    </w:p>
    <w:p>
      <w:pPr>
        <w:pStyle w:val="null3"/>
        <w:ind w:firstLine="960"/>
      </w:pPr>
      <w:r>
        <w:rPr/>
        <w:t>详见附件：项目组人员组成表</w:t>
      </w:r>
    </w:p>
    <w:p>
      <w:pPr>
        <w:pStyle w:val="null3"/>
        <w:ind w:firstLine="960"/>
      </w:pPr>
      <w:r>
        <w:rPr/>
        <w:t>详见附件：服务方案响应格式</w:t>
      </w:r>
    </w:p>
    <w:p>
      <w:pPr>
        <w:pStyle w:val="null3"/>
        <w:ind w:firstLine="960"/>
      </w:pPr>
      <w:r>
        <w:rPr/>
        <w:t>详见附件：相关资格证明材料</w:t>
      </w:r>
    </w:p>
    <w:p>
      <w:pPr>
        <w:pStyle w:val="null3"/>
        <w:ind w:firstLine="960"/>
      </w:pPr>
      <w:r>
        <w:rPr/>
        <w:t>详见附件：项目负责人简历表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详见附件：上传合同格式.docx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