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天桥湖流量监测设备项目</w:t>
      </w:r>
    </w:p>
    <w:p>
      <w:pPr>
        <w:pStyle w:val="null3"/>
        <w:jc w:val="center"/>
        <w:outlineLvl w:val="2"/>
      </w:pPr>
      <w:r>
        <w:rPr>
          <w:sz w:val="28"/>
          <w:b/>
        </w:rPr>
        <w:t>采购项目编号：</w:t>
      </w:r>
      <w:r>
        <w:rPr>
          <w:sz w:val="28"/>
          <w:b/>
        </w:rPr>
        <w:t>XBXM-2024ZB025</w:t>
      </w:r>
      <w:r>
        <w:br/>
      </w:r>
      <w:r>
        <w:br/>
      </w:r>
      <w:r>
        <w:br/>
      </w:r>
    </w:p>
    <w:p>
      <w:pPr>
        <w:pStyle w:val="null3"/>
        <w:jc w:val="center"/>
        <w:outlineLvl w:val="2"/>
      </w:pPr>
      <w:r>
        <w:rPr>
          <w:sz w:val="28"/>
          <w:b/>
        </w:rPr>
        <w:t>西安市鄠邑区河湖生态管理服务中心</w:t>
      </w:r>
    </w:p>
    <w:p>
      <w:pPr>
        <w:pStyle w:val="null3"/>
        <w:jc w:val="center"/>
        <w:outlineLvl w:val="2"/>
      </w:pPr>
      <w:r>
        <w:rPr>
          <w:sz w:val="28"/>
          <w:b/>
        </w:rPr>
        <w:t>西部项目管理（陕西）有限公司</w:t>
      </w:r>
      <w:r>
        <w:rPr>
          <w:sz w:val="28"/>
          <w:b/>
        </w:rPr>
        <w:t>共同编制</w:t>
      </w:r>
    </w:p>
    <w:p>
      <w:pPr>
        <w:pStyle w:val="null3"/>
        <w:jc w:val="center"/>
        <w:outlineLvl w:val="2"/>
      </w:pPr>
      <w:r>
        <w:rPr>
          <w:sz w:val="28"/>
          <w:b/>
        </w:rPr>
        <w:t>2024年12月02日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西部项目管理（陕西）有限公司</w:t>
      </w:r>
      <w:r>
        <w:rPr/>
        <w:t>（以下简称“代理机构”）受</w:t>
      </w:r>
      <w:r>
        <w:rPr/>
        <w:t>西安市鄠邑区河湖生态管理服务中心</w:t>
      </w:r>
      <w:r>
        <w:rPr/>
        <w:t>委托，拟对</w:t>
      </w:r>
      <w:r>
        <w:rPr/>
        <w:t>天桥湖流量监测设备项目</w:t>
      </w:r>
      <w:r>
        <w:rPr/>
        <w:t>采用竞争性磋商采购方式进行采购，兹邀请供应商参加本项目的竞争性磋商。</w:t>
      </w:r>
    </w:p>
    <w:p>
      <w:pPr>
        <w:pStyle w:val="null3"/>
        <w:outlineLvl w:val="2"/>
      </w:pPr>
      <w:r>
        <w:rPr>
          <w:sz w:val="28"/>
          <w:b/>
        </w:rPr>
        <w:t>一、项目编号：</w:t>
      </w:r>
      <w:r>
        <w:rPr>
          <w:sz w:val="28"/>
          <w:b/>
        </w:rPr>
        <w:t>XBXM-2024ZB025</w:t>
      </w:r>
    </w:p>
    <w:p>
      <w:pPr>
        <w:pStyle w:val="null3"/>
        <w:outlineLvl w:val="2"/>
      </w:pPr>
      <w:r>
        <w:rPr>
          <w:sz w:val="28"/>
          <w:b/>
        </w:rPr>
        <w:t>二、项目名称：</w:t>
      </w:r>
      <w:r>
        <w:rPr>
          <w:sz w:val="28"/>
          <w:b/>
        </w:rPr>
        <w:t>天桥湖流量监测设备项目</w:t>
      </w:r>
    </w:p>
    <w:p>
      <w:pPr>
        <w:pStyle w:val="null3"/>
        <w:outlineLvl w:val="2"/>
      </w:pPr>
      <w:r>
        <w:rPr>
          <w:sz w:val="28"/>
          <w:b/>
        </w:rPr>
        <w:t>三、磋商项目简介</w:t>
      </w:r>
    </w:p>
    <w:p>
      <w:pPr>
        <w:pStyle w:val="null3"/>
        <w:ind w:firstLine="480"/>
      </w:pPr>
      <w:r>
        <w:rPr/>
        <w:t>为加强天桥湖蓄滞洪水调度和水资源利用管理，完成西安市鄠邑区天桥湖进退口水文智能系统设备安装及水文智监测工作。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采购包1（天桥湖流量监测设备项目）：属于专门面向中小企业采购。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1、具有独立承担民事责任的能力：提供注册登记凭证（营业执照、其他组织经营的合法凭证，自然人的提供身份证明文件）。</w:t>
      </w:r>
    </w:p>
    <w:p>
      <w:pPr>
        <w:pStyle w:val="null3"/>
      </w:pPr>
      <w:r>
        <w:rPr/>
        <w:t>2、具有良好的商业信誉和健全的财务会计制度：提供2023年经第三方审计的财务报告（包括四表一注，即资产负债表、利润表、现金流量表、所有者权益变动表及其附注），且无反对意见；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t>3、具有履行合同所必需的设备和专业技术能力：提供具有履行合同所必需的设备和专业技术能力的书面声明</w:t>
      </w:r>
    </w:p>
    <w:p>
      <w:pPr>
        <w:pStyle w:val="null3"/>
      </w:pPr>
      <w:r>
        <w:rPr/>
        <w:t>4、具有依法缴纳税收的良好记录：提供缴费所属日期为磋商时间前12个月内任一月份（磋商时间当月不计入）的增值税（或企业所得税）缴费凭据或税务机关出具的完税证明/在法规范围内不需提供的应出具书面说明和证明文件。</w:t>
      </w:r>
    </w:p>
    <w:p>
      <w:pPr>
        <w:pStyle w:val="null3"/>
      </w:pPr>
      <w:r>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t>6、参加政府采购活动前3年内在经营活动中没有重大违法记录的书面声明：提供参加政府采购活动前3年内在经营活动中没有重大违法记录的书面声明</w:t>
      </w:r>
    </w:p>
    <w:p>
      <w:pPr>
        <w:pStyle w:val="null3"/>
      </w:pPr>
      <w:r>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t>8、法定代表人身份证明或法人代表授权书：提供法定代表人身份证明或法人代表授权书</w:t>
      </w:r>
    </w:p>
    <w:p>
      <w:pPr>
        <w:pStyle w:val="null3"/>
      </w:pPr>
      <w:r>
        <w:rPr/>
        <w:t>9、联合体磋商：本项目不接受联合体磋商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西安市鄠邑区河湖生态管理服务中心</w:t>
      </w:r>
    </w:p>
    <w:p>
      <w:pPr>
        <w:pStyle w:val="null3"/>
      </w:pPr>
      <w:r>
        <w:rPr/>
        <w:t xml:space="preserve"> 地址： </w:t>
      </w:r>
      <w:r>
        <w:rPr/>
        <w:t>鄠邑区甘亭街道政兴路1号滨河商务中心</w:t>
      </w:r>
    </w:p>
    <w:p>
      <w:pPr>
        <w:pStyle w:val="null3"/>
      </w:pPr>
      <w:r>
        <w:rPr/>
        <w:t xml:space="preserve"> 邮编： </w:t>
      </w:r>
      <w:r>
        <w:rPr/>
        <w:t>710000</w:t>
      </w:r>
    </w:p>
    <w:p>
      <w:pPr>
        <w:pStyle w:val="null3"/>
      </w:pPr>
      <w:r>
        <w:rPr/>
        <w:t xml:space="preserve"> 联系人： </w:t>
      </w:r>
      <w:r>
        <w:rPr/>
        <w:t>西安市鄠邑区河湖生态管理服务中心经办</w:t>
      </w:r>
    </w:p>
    <w:p>
      <w:pPr>
        <w:pStyle w:val="null3"/>
      </w:pPr>
      <w:r>
        <w:rPr/>
        <w:t xml:space="preserve"> 联系电话： </w:t>
      </w:r>
      <w:r>
        <w:rPr/>
        <w:t>029-89029042</w:t>
      </w:r>
    </w:p>
    <w:p>
      <w:pPr>
        <w:pStyle w:val="null3"/>
        <w:outlineLvl w:val="3"/>
      </w:pPr>
      <w:r>
        <w:rPr>
          <w:sz w:val="24"/>
          <w:b/>
        </w:rPr>
        <w:t>代理机构：</w:t>
      </w:r>
      <w:r>
        <w:rPr>
          <w:sz w:val="24"/>
          <w:b/>
        </w:rPr>
        <w:t>西部项目管理（陕西）有限公司</w:t>
      </w:r>
    </w:p>
    <w:p>
      <w:pPr>
        <w:pStyle w:val="null3"/>
      </w:pPr>
      <w:r>
        <w:rPr/>
        <w:t xml:space="preserve"> 地址： </w:t>
      </w:r>
      <w:r>
        <w:rPr/>
        <w:t>陕西省西安市市本级陕西省西咸新区沣东新城世纪大道29号西咸人才大厦A3楼9层10号</w:t>
      </w:r>
    </w:p>
    <w:p>
      <w:pPr>
        <w:pStyle w:val="null3"/>
      </w:pPr>
      <w:r>
        <w:rPr/>
        <w:t xml:space="preserve"> 邮编： </w:t>
      </w:r>
      <w:r>
        <w:rPr/>
        <w:t>710000</w:t>
      </w:r>
    </w:p>
    <w:p>
      <w:pPr>
        <w:pStyle w:val="null3"/>
      </w:pPr>
      <w:r>
        <w:rPr/>
        <w:t xml:space="preserve"> 联系人： </w:t>
      </w:r>
      <w:r>
        <w:rPr/>
        <w:t>李悦</w:t>
      </w:r>
    </w:p>
    <w:p>
      <w:pPr>
        <w:pStyle w:val="null3"/>
      </w:pPr>
      <w:r>
        <w:rPr/>
        <w:t xml:space="preserve"> 联系电话： </w:t>
      </w:r>
      <w:r>
        <w:rPr/>
        <w:t>029-85257375</w:t>
      </w:r>
    </w:p>
    <w:p>
      <w:pPr>
        <w:pStyle w:val="null3"/>
        <w:outlineLvl w:val="3"/>
      </w:pPr>
      <w:r>
        <w:rPr>
          <w:sz w:val="24"/>
          <w:b/>
        </w:rPr>
        <w:t>采购监督机构：</w:t>
      </w:r>
      <w:r>
        <w:rPr>
          <w:sz w:val="24"/>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费参照国家计委关于印发《招标代理服务收费管理暂行办法》的通知（计价格〔2002〕1980号）、《国家发展和改革委员会办公厅关于招标代理服务收费有关问题的通知》（发改办价格〔2003〕857号）收费标准，按固定收费捌仟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西安市鄠邑区河湖生态管理服务中心</w:t>
      </w:r>
      <w:r>
        <w:rPr/>
        <w:t>和</w:t>
      </w:r>
      <w:r>
        <w:rPr/>
        <w:t>西部项目管理（陕西）有限公司</w:t>
      </w:r>
      <w:r>
        <w:rPr/>
        <w:t>享有。对磋商文件中供应商参加本次政府采购活动应当具备的条件，磋商项目技术、服务、商务及其他要求，评审细则及标准由</w:t>
      </w:r>
      <w:r>
        <w:rPr/>
        <w:t>西安市鄠邑区河湖生态管理服务中心</w:t>
      </w:r>
      <w:r>
        <w:rPr/>
        <w:t>负责解释。除上述磋商文件内容，其他内容由</w:t>
      </w:r>
      <w:r>
        <w:rPr/>
        <w:t>西部项目管理（陕西）有限公司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西安市鄠邑区河湖生态管理服务中心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西部项目管理（陕西）有限公司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采购人按照政府采购合同规定的技术、服务、安全标准组织对供应商履约情况进行验收，并出具验收书。验收书应当包括每一项技术、服务、安全标准的履约情况。 验收方式:由供应商进行自检合格后，准备验收文件，并书面通知采购人。采购人确认供应商能够达到合同履约要求后，组织供应商(必要时请有关专家)进行项目验收，验收合格后，填写项目验收单作为对项目的最终认可。 供应商向采购人提交项目实施过程中的所有资料,以便采购人日后管理和维护该项目。 验收依据;①竞争性磋商文件、磋商响应文件、澄清表(函):②本合同及附件文本;③国家相应的标准、规范。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西部项目管理（陕西）有限公司</w:t>
      </w:r>
      <w:r>
        <w:rPr/>
        <w:t xml:space="preserve"> 负责答复；供应商对除采购需求外的采购文件的询问、质疑由</w:t>
      </w:r>
      <w:r>
        <w:rPr/>
        <w:t>西部项目管理（陕西）有限公司</w:t>
      </w:r>
      <w:r>
        <w:rPr/>
        <w:t xml:space="preserve"> 负责答复；供应商对采购过程、采购结果的询问、质疑由 </w:t>
      </w:r>
      <w:r>
        <w:rPr/>
        <w:t>西部项目管理（陕西）有限公司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联系人：李悦</w:t>
      </w:r>
    </w:p>
    <w:p>
      <w:pPr>
        <w:pStyle w:val="null3"/>
      </w:pPr>
      <w:r>
        <w:rPr/>
        <w:t>联系电话：029-85257375</w:t>
      </w:r>
    </w:p>
    <w:p>
      <w:pPr>
        <w:pStyle w:val="null3"/>
      </w:pPr>
      <w:r>
        <w:rPr/>
        <w:t>地址：陕西省西安市碑林区长安北路88号长安国际中心F座20层2005室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为加强天桥湖蓄滞洪水调度和水资源利用管理，完成西安市鄠邑区天桥湖进退口水文智能系统设备安装及水文智监测工作。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395,000.00</w:t>
      </w:r>
    </w:p>
    <w:p>
      <w:pPr>
        <w:pStyle w:val="null3"/>
      </w:pPr>
      <w:r>
        <w:rPr/>
        <w:t>采购包最高限价（元）: 395,000.00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天桥湖流量监测设备项目</w:t>
            </w:r>
          </w:p>
        </w:tc>
        <w:tc>
          <w:tcPr>
            <w:tcW w:type="dxa" w:w="831"/>
          </w:tcPr>
          <w:p>
            <w:pPr>
              <w:pStyle w:val="null3"/>
              <w:jc w:val="right"/>
            </w:pPr>
            <w:r>
              <w:rPr/>
              <w:t>1.00</w:t>
            </w:r>
          </w:p>
        </w:tc>
        <w:tc>
          <w:tcPr>
            <w:tcW w:type="dxa" w:w="831"/>
          </w:tcPr>
          <w:p>
            <w:pPr>
              <w:pStyle w:val="null3"/>
              <w:jc w:val="right"/>
            </w:pPr>
            <w:r>
              <w:rPr/>
              <w:t>395,000.00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标的名称：天桥湖流量监测设备项目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color w:val="00B0F0"/>
              </w:rPr>
              <w:t>服务范围：天桥湖进、退水口流量监测及水文观测服务。</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color w:val="00B0F0"/>
              </w:rPr>
              <w:t>服务要求：符合采购人要求</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simsun" w:hAnsi="simsun" w:cs="simsun" w:eastAsia="simsun"/>
                <w:sz w:val="21"/>
                <w:color w:val="00B0F0"/>
              </w:rPr>
              <w:t>服务期限：自合同签订之日起365日历天</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1"/>
                <w:color w:val="00B0F0"/>
              </w:rPr>
              <w:t>服务标准：满足国家、省市相关规范要求。</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color w:val="00B0F0"/>
              </w:rPr>
              <w:t>一、项目工作内容</w:t>
            </w:r>
          </w:p>
          <w:p>
            <w:pPr>
              <w:pStyle w:val="null3"/>
              <w:ind w:firstLine="420"/>
              <w:jc w:val="both"/>
            </w:pPr>
            <w:r>
              <w:rPr>
                <w:rFonts w:ascii="calibri, sans-serif" w:hAnsi="calibri, sans-serif" w:cs="calibri, sans-serif" w:eastAsia="calibri, sans-serif"/>
                <w:sz w:val="21"/>
                <w:color w:val="00B0F0"/>
              </w:rPr>
              <w:t>1</w:t>
            </w:r>
            <w:r>
              <w:rPr>
                <w:rFonts w:ascii="宋体" w:hAnsi="宋体" w:cs="宋体" w:eastAsia="宋体"/>
                <w:sz w:val="21"/>
                <w:color w:val="00B0F0"/>
              </w:rPr>
              <w:t>、流量监测设备安装</w:t>
            </w:r>
          </w:p>
          <w:p>
            <w:pPr>
              <w:pStyle w:val="null3"/>
              <w:ind w:firstLine="420"/>
              <w:jc w:val="both"/>
            </w:pPr>
            <w:r>
              <w:rPr>
                <w:rFonts w:ascii="calibri, sans-serif" w:hAnsi="calibri, sans-serif" w:cs="calibri, sans-serif" w:eastAsia="calibri, sans-serif"/>
                <w:sz w:val="21"/>
                <w:color w:val="00B0F0"/>
              </w:rPr>
              <w:t>1.1</w:t>
            </w:r>
            <w:r>
              <w:rPr>
                <w:rFonts w:ascii="宋体" w:hAnsi="宋体" w:cs="宋体" w:eastAsia="宋体"/>
                <w:sz w:val="21"/>
                <w:color w:val="00B0F0"/>
              </w:rPr>
              <w:t>设备选择</w:t>
            </w:r>
          </w:p>
          <w:p>
            <w:pPr>
              <w:pStyle w:val="null3"/>
              <w:ind w:firstLine="420"/>
              <w:jc w:val="both"/>
            </w:pPr>
            <w:r>
              <w:rPr>
                <w:rFonts w:ascii="宋体" w:hAnsi="宋体" w:cs="宋体" w:eastAsia="宋体"/>
                <w:sz w:val="21"/>
                <w:color w:val="00B0F0"/>
              </w:rPr>
              <w:t>根据实际需求，选择适合的流量监测设备。常见的流量监测设备包括多普勒超声波流量计、雷达流量计、电磁流量计等。每种设备有其适用范围和特点，例如多普勒超声波流量计适用于渠道和河流的流量测量，而电磁流量计则适用于退水口流量监测。</w:t>
            </w:r>
          </w:p>
          <w:p>
            <w:pPr>
              <w:pStyle w:val="null3"/>
              <w:ind w:firstLine="420"/>
              <w:jc w:val="both"/>
            </w:pPr>
            <w:r>
              <w:rPr>
                <w:rFonts w:ascii="calibri, sans-serif" w:hAnsi="calibri, sans-serif" w:cs="calibri, sans-serif" w:eastAsia="calibri, sans-serif"/>
                <w:sz w:val="21"/>
                <w:color w:val="00B0F0"/>
              </w:rPr>
              <w:t>1.2</w:t>
            </w:r>
            <w:r>
              <w:rPr>
                <w:rFonts w:ascii="宋体" w:hAnsi="宋体" w:cs="宋体" w:eastAsia="宋体"/>
                <w:sz w:val="21"/>
                <w:color w:val="00B0F0"/>
              </w:rPr>
              <w:t>安装位置选择</w:t>
            </w:r>
          </w:p>
          <w:p>
            <w:pPr>
              <w:pStyle w:val="null3"/>
              <w:ind w:firstLine="420"/>
              <w:jc w:val="both"/>
            </w:pPr>
            <w:r>
              <w:rPr>
                <w:rFonts w:ascii="宋体" w:hAnsi="宋体" w:cs="宋体" w:eastAsia="宋体"/>
                <w:sz w:val="21"/>
                <w:color w:val="00B0F0"/>
              </w:rPr>
              <w:t>安装位置的选择对测量结果的准确性至关重要。通常情况下，流量监测设备应安装在管道的中心位置，避免安装在弯曲或分支处。多普勒流量计和雷达流量计应安装在流体明渠的中心位置，以确保测量的准确性。电磁流量计则应安装在退水口泄流的地方。</w:t>
            </w:r>
          </w:p>
          <w:p>
            <w:pPr>
              <w:pStyle w:val="null3"/>
              <w:ind w:firstLine="420"/>
              <w:jc w:val="both"/>
            </w:pPr>
            <w:r>
              <w:rPr>
                <w:rFonts w:ascii="calibri, sans-serif" w:hAnsi="calibri, sans-serif" w:cs="calibri, sans-serif" w:eastAsia="calibri, sans-serif"/>
                <w:sz w:val="21"/>
                <w:color w:val="00B0F0"/>
              </w:rPr>
              <w:t>1.3</w:t>
            </w:r>
            <w:r>
              <w:rPr>
                <w:rFonts w:ascii="宋体" w:hAnsi="宋体" w:cs="宋体" w:eastAsia="宋体"/>
                <w:sz w:val="21"/>
                <w:color w:val="00B0F0"/>
              </w:rPr>
              <w:t>安装方式</w:t>
            </w:r>
          </w:p>
          <w:p>
            <w:pPr>
              <w:pStyle w:val="null3"/>
              <w:ind w:firstLine="420"/>
              <w:jc w:val="both"/>
            </w:pPr>
            <w:r>
              <w:rPr>
                <w:rFonts w:ascii="宋体" w:hAnsi="宋体" w:cs="宋体" w:eastAsia="宋体"/>
                <w:sz w:val="21"/>
                <w:color w:val="00B0F0"/>
              </w:rPr>
              <w:t>根据设备的类型和安装环境选择固定安装或插入式安装。固定安装适用于排污口固定位置的情况，而插入式安装适用于排污口位置变动较大的情况。多普勒流量计的传感器应逆向面对水流进行安装，以确保测量精度。</w:t>
            </w:r>
          </w:p>
          <w:p>
            <w:pPr>
              <w:pStyle w:val="null3"/>
              <w:ind w:firstLine="420"/>
              <w:jc w:val="both"/>
            </w:pPr>
            <w:r>
              <w:rPr>
                <w:rFonts w:ascii="calibri, sans-serif" w:hAnsi="calibri, sans-serif" w:cs="calibri, sans-serif" w:eastAsia="calibri, sans-serif"/>
                <w:sz w:val="21"/>
                <w:color w:val="00B0F0"/>
              </w:rPr>
              <w:t>1.4</w:t>
            </w:r>
            <w:r>
              <w:rPr>
                <w:rFonts w:ascii="宋体" w:hAnsi="宋体" w:cs="宋体" w:eastAsia="宋体"/>
                <w:sz w:val="21"/>
                <w:color w:val="00B0F0"/>
              </w:rPr>
              <w:t>数据采集和处理</w:t>
            </w:r>
          </w:p>
          <w:p>
            <w:pPr>
              <w:pStyle w:val="null3"/>
              <w:ind w:firstLine="420"/>
              <w:jc w:val="both"/>
            </w:pPr>
            <w:r>
              <w:rPr>
                <w:rFonts w:ascii="宋体" w:hAnsi="宋体" w:cs="宋体" w:eastAsia="宋体"/>
                <w:sz w:val="21"/>
                <w:color w:val="00B0F0"/>
              </w:rPr>
              <w:t>流量监测设备采集到的数据应通过有线或无线方式传输到数据采集系统。数据处理系统可以对采集到的数据进行实时处理和分析，生成相应的报表和图表。数据应存储在数据库中，并可以通过网络进行共享，确保数据的安全性和可访问性。</w:t>
            </w:r>
          </w:p>
          <w:p>
            <w:pPr>
              <w:pStyle w:val="null3"/>
              <w:ind w:firstLine="420"/>
              <w:jc w:val="both"/>
            </w:pPr>
            <w:r>
              <w:rPr>
                <w:rFonts w:ascii="calibri, sans-serif" w:hAnsi="calibri, sans-serif" w:cs="calibri, sans-serif" w:eastAsia="calibri, sans-serif"/>
                <w:sz w:val="21"/>
                <w:color w:val="00B0F0"/>
              </w:rPr>
              <w:t>2</w:t>
            </w:r>
            <w:r>
              <w:rPr>
                <w:rFonts w:ascii="宋体" w:hAnsi="宋体" w:cs="宋体" w:eastAsia="宋体"/>
                <w:sz w:val="21"/>
                <w:color w:val="00B0F0"/>
              </w:rPr>
              <w:t>、流量监测设备维护</w:t>
            </w:r>
          </w:p>
          <w:p>
            <w:pPr>
              <w:pStyle w:val="null3"/>
              <w:ind w:firstLine="420"/>
              <w:jc w:val="both"/>
            </w:pPr>
            <w:r>
              <w:rPr>
                <w:rFonts w:ascii="calibri, sans-serif" w:hAnsi="calibri, sans-serif" w:cs="calibri, sans-serif" w:eastAsia="calibri, sans-serif"/>
                <w:sz w:val="21"/>
                <w:color w:val="00B0F0"/>
              </w:rPr>
              <w:t>2.1</w:t>
            </w:r>
            <w:r>
              <w:rPr>
                <w:rFonts w:ascii="宋体" w:hAnsi="宋体" w:cs="宋体" w:eastAsia="宋体"/>
                <w:sz w:val="21"/>
                <w:color w:val="00B0F0"/>
              </w:rPr>
              <w:t>设备校准</w:t>
            </w:r>
          </w:p>
          <w:p>
            <w:pPr>
              <w:pStyle w:val="null3"/>
              <w:ind w:firstLine="420"/>
              <w:jc w:val="both"/>
            </w:pPr>
            <w:r>
              <w:rPr>
                <w:rFonts w:ascii="宋体" w:hAnsi="宋体" w:cs="宋体" w:eastAsia="宋体"/>
                <w:sz w:val="21"/>
                <w:color w:val="00B0F0"/>
              </w:rPr>
              <w:t>安装完成后，对流量监测设备进行校准和定期维护，以确保设备的准确性和可靠性。定期对设备进行零点校准和量程校准，确保测量数据的准确性。</w:t>
            </w:r>
          </w:p>
          <w:p>
            <w:pPr>
              <w:pStyle w:val="null3"/>
              <w:ind w:firstLine="420"/>
              <w:jc w:val="both"/>
            </w:pPr>
            <w:r>
              <w:rPr>
                <w:rFonts w:ascii="calibri, sans-serif" w:hAnsi="calibri, sans-serif" w:cs="calibri, sans-serif" w:eastAsia="calibri, sans-serif"/>
                <w:sz w:val="21"/>
                <w:color w:val="00B0F0"/>
              </w:rPr>
              <w:t>2.2</w:t>
            </w:r>
            <w:r>
              <w:rPr>
                <w:rFonts w:ascii="宋体" w:hAnsi="宋体" w:cs="宋体" w:eastAsia="宋体"/>
                <w:sz w:val="21"/>
                <w:color w:val="00B0F0"/>
              </w:rPr>
              <w:t>清洁维护</w:t>
            </w:r>
          </w:p>
          <w:p>
            <w:pPr>
              <w:pStyle w:val="null3"/>
              <w:ind w:firstLine="420"/>
              <w:jc w:val="both"/>
            </w:pPr>
            <w:r>
              <w:rPr>
                <w:rFonts w:ascii="宋体" w:hAnsi="宋体" w:cs="宋体" w:eastAsia="宋体"/>
                <w:sz w:val="21"/>
                <w:color w:val="00B0F0"/>
              </w:rPr>
              <w:t>定期对设备进行清洁，特别是传感器部分。传感器应保持清洁，避免杂质和污垢影响测量结果。对于插入式安装的流量计，应定期检查传感器是否有堵塞或损坏的情况，并及时进行清理或更换。</w:t>
            </w:r>
          </w:p>
          <w:p>
            <w:pPr>
              <w:pStyle w:val="null3"/>
              <w:ind w:firstLine="420"/>
              <w:jc w:val="both"/>
            </w:pPr>
            <w:r>
              <w:rPr>
                <w:rFonts w:ascii="calibri, sans-serif" w:hAnsi="calibri, sans-serif" w:cs="calibri, sans-serif" w:eastAsia="calibri, sans-serif"/>
                <w:sz w:val="21"/>
                <w:color w:val="00B0F0"/>
              </w:rPr>
              <w:t>2.3</w:t>
            </w:r>
            <w:r>
              <w:rPr>
                <w:rFonts w:ascii="宋体" w:hAnsi="宋体" w:cs="宋体" w:eastAsia="宋体"/>
                <w:sz w:val="21"/>
                <w:color w:val="00B0F0"/>
              </w:rPr>
              <w:t>故障排除</w:t>
            </w:r>
          </w:p>
          <w:p>
            <w:pPr>
              <w:pStyle w:val="null3"/>
              <w:ind w:firstLine="420"/>
              <w:jc w:val="both"/>
            </w:pPr>
            <w:r>
              <w:rPr>
                <w:rFonts w:ascii="宋体" w:hAnsi="宋体" w:cs="宋体" w:eastAsia="宋体"/>
                <w:sz w:val="21"/>
                <w:color w:val="00B0F0"/>
              </w:rPr>
              <w:t>及时处理设备故障和异常情况，确保设备的稳定性和可靠性。当设备出现故障时，应首先检查电源和信号线是否连接正常，然后检查传感器是否损坏或堵塞。如无法自行解决，应及时联系生产厂家进行处理。</w:t>
            </w:r>
          </w:p>
          <w:p>
            <w:pPr>
              <w:pStyle w:val="null3"/>
              <w:ind w:firstLine="420"/>
              <w:jc w:val="both"/>
            </w:pPr>
            <w:r>
              <w:rPr>
                <w:rFonts w:ascii="calibri, sans-serif" w:hAnsi="calibri, sans-serif" w:cs="calibri, sans-serif" w:eastAsia="calibri, sans-serif"/>
                <w:sz w:val="21"/>
                <w:color w:val="00B0F0"/>
              </w:rPr>
              <w:t>2.4</w:t>
            </w:r>
            <w:r>
              <w:rPr>
                <w:rFonts w:ascii="宋体" w:hAnsi="宋体" w:cs="宋体" w:eastAsia="宋体"/>
                <w:sz w:val="21"/>
                <w:color w:val="00B0F0"/>
              </w:rPr>
              <w:t>定期检查</w:t>
            </w:r>
          </w:p>
          <w:p>
            <w:pPr>
              <w:pStyle w:val="null3"/>
              <w:ind w:firstLine="420"/>
              <w:jc w:val="both"/>
            </w:pPr>
            <w:r>
              <w:rPr>
                <w:rFonts w:ascii="宋体" w:hAnsi="宋体" w:cs="宋体" w:eastAsia="宋体"/>
                <w:sz w:val="21"/>
                <w:color w:val="00B0F0"/>
              </w:rPr>
              <w:t>定期检查设备的运行状态，包括传感器的工作状态、数据传输的稳定性等。定期检查设备的供电系统，确保供电稳定，避免因供电问题导致设备故障。</w:t>
            </w:r>
          </w:p>
          <w:p>
            <w:pPr>
              <w:pStyle w:val="null3"/>
              <w:ind w:firstLine="420"/>
              <w:jc w:val="both"/>
            </w:pPr>
            <w:r>
              <w:rPr>
                <w:rFonts w:ascii="calibri, sans-serif" w:hAnsi="calibri, sans-serif" w:cs="calibri, sans-serif" w:eastAsia="calibri, sans-serif"/>
                <w:sz w:val="21"/>
                <w:color w:val="00B0F0"/>
              </w:rPr>
              <w:t>3</w:t>
            </w:r>
            <w:r>
              <w:rPr>
                <w:rFonts w:ascii="宋体" w:hAnsi="宋体" w:cs="宋体" w:eastAsia="宋体"/>
                <w:sz w:val="21"/>
                <w:color w:val="00B0F0"/>
              </w:rPr>
              <w:t>、安全措施</w:t>
            </w:r>
          </w:p>
          <w:p>
            <w:pPr>
              <w:pStyle w:val="null3"/>
              <w:ind w:firstLine="420"/>
              <w:jc w:val="both"/>
            </w:pPr>
            <w:r>
              <w:rPr>
                <w:rFonts w:ascii="宋体" w:hAnsi="宋体" w:cs="宋体" w:eastAsia="宋体"/>
                <w:sz w:val="21"/>
                <w:color w:val="00B0F0"/>
              </w:rPr>
              <w:t>在安装和维护过程中，要注意安全措施，确保设备的安全和可靠运行。遵守相关的安全规范和操作规程，避免在安装和维护过程中发生意外事故。</w:t>
            </w:r>
          </w:p>
          <w:p>
            <w:pPr>
              <w:pStyle w:val="null3"/>
              <w:ind w:firstLine="420"/>
              <w:jc w:val="both"/>
            </w:pPr>
            <w:r>
              <w:rPr>
                <w:rFonts w:ascii="宋体" w:hAnsi="宋体" w:cs="宋体" w:eastAsia="宋体"/>
                <w:sz w:val="21"/>
                <w:color w:val="00B0F0"/>
              </w:rPr>
              <w:t>通过正确的安装和定期维护，流量监测设备能够提供准确可靠的流量数据，为工业生产和环境保护提供有力支持。</w:t>
            </w:r>
          </w:p>
          <w:p>
            <w:pPr>
              <w:pStyle w:val="null3"/>
              <w:jc w:val="both"/>
            </w:pPr>
            <w:r>
              <w:rPr>
                <w:rFonts w:ascii="宋体" w:hAnsi="宋体" w:cs="宋体" w:eastAsia="宋体"/>
                <w:sz w:val="21"/>
                <w:color w:val="00B0F0"/>
              </w:rPr>
              <w:t>二、项目成果及质量要求</w:t>
            </w:r>
          </w:p>
          <w:p>
            <w:pPr>
              <w:pStyle w:val="null3"/>
              <w:ind w:firstLine="420"/>
              <w:jc w:val="both"/>
            </w:pPr>
            <w:r>
              <w:rPr>
                <w:rFonts w:ascii="calibri, sans-serif" w:hAnsi="calibri, sans-serif" w:cs="calibri, sans-serif" w:eastAsia="calibri, sans-serif"/>
                <w:sz w:val="21"/>
                <w:color w:val="00B0F0"/>
              </w:rPr>
              <w:t>1</w:t>
            </w:r>
            <w:r>
              <w:rPr>
                <w:rFonts w:ascii="宋体" w:hAnsi="宋体" w:cs="宋体" w:eastAsia="宋体"/>
                <w:sz w:val="21"/>
                <w:color w:val="00B0F0"/>
              </w:rPr>
              <w:t>、水文流量监测设备成果</w:t>
            </w:r>
          </w:p>
          <w:p>
            <w:pPr>
              <w:pStyle w:val="null3"/>
              <w:ind w:firstLine="420"/>
              <w:jc w:val="both"/>
            </w:pPr>
            <w:r>
              <w:rPr>
                <w:rFonts w:ascii="calibri, sans-serif" w:hAnsi="calibri, sans-serif" w:cs="calibri, sans-serif" w:eastAsia="calibri, sans-serif"/>
                <w:sz w:val="21"/>
                <w:color w:val="00B0F0"/>
              </w:rPr>
              <w:t>1.1</w:t>
            </w:r>
            <w:r>
              <w:rPr>
                <w:rFonts w:ascii="宋体" w:hAnsi="宋体" w:cs="宋体" w:eastAsia="宋体"/>
                <w:sz w:val="21"/>
                <w:color w:val="00B0F0"/>
              </w:rPr>
              <w:t>流量数据</w:t>
            </w:r>
          </w:p>
          <w:p>
            <w:pPr>
              <w:pStyle w:val="null3"/>
              <w:ind w:firstLine="420"/>
              <w:jc w:val="both"/>
            </w:pPr>
            <w:r>
              <w:rPr>
                <w:rFonts w:ascii="宋体" w:hAnsi="宋体" w:cs="宋体" w:eastAsia="宋体"/>
                <w:sz w:val="21"/>
                <w:color w:val="00B0F0"/>
              </w:rPr>
              <w:t>实时流量数据：通过监测设备获取河流、渠道等水体实时的流量信息。这些数据对于洪水预警、水资源调配等工作至关重要，以便采取相应的防洪措施，如：加固堤坝、疏散群众。</w:t>
            </w:r>
          </w:p>
          <w:p>
            <w:pPr>
              <w:pStyle w:val="null3"/>
              <w:ind w:firstLine="420"/>
              <w:jc w:val="both"/>
            </w:pPr>
            <w:r>
              <w:rPr>
                <w:rFonts w:ascii="宋体" w:hAnsi="宋体" w:cs="宋体" w:eastAsia="宋体"/>
                <w:sz w:val="21"/>
                <w:color w:val="00B0F0"/>
              </w:rPr>
              <w:t>历史流量数据序列：经过长期的监测，能够积累大量的流量数据，形成时间序列。这些数据可以用于分析河流流量的变化规律，包括季节性变化、年际变化等。</w:t>
            </w:r>
          </w:p>
          <w:p>
            <w:pPr>
              <w:pStyle w:val="null3"/>
              <w:ind w:firstLine="420"/>
              <w:jc w:val="both"/>
            </w:pPr>
            <w:r>
              <w:rPr>
                <w:rFonts w:ascii="calibri, sans-serif" w:hAnsi="calibri, sans-serif" w:cs="calibri, sans-serif" w:eastAsia="calibri, sans-serif"/>
                <w:sz w:val="21"/>
                <w:color w:val="00B0F0"/>
              </w:rPr>
              <w:t>1.2</w:t>
            </w:r>
            <w:r>
              <w:rPr>
                <w:rFonts w:ascii="宋体" w:hAnsi="宋体" w:cs="宋体" w:eastAsia="宋体"/>
                <w:sz w:val="21"/>
                <w:color w:val="00B0F0"/>
              </w:rPr>
              <w:t>水位</w:t>
            </w:r>
            <w:r>
              <w:rPr>
                <w:rFonts w:ascii="calibri, sans-serif" w:hAnsi="calibri, sans-serif" w:cs="calibri, sans-serif" w:eastAsia="calibri, sans-serif"/>
                <w:sz w:val="21"/>
                <w:color w:val="00B0F0"/>
              </w:rPr>
              <w:t>-</w:t>
            </w:r>
            <w:r>
              <w:rPr>
                <w:rFonts w:ascii="宋体" w:hAnsi="宋体" w:cs="宋体" w:eastAsia="宋体"/>
                <w:sz w:val="21"/>
                <w:color w:val="00B0F0"/>
              </w:rPr>
              <w:t>流量关系曲线</w:t>
            </w:r>
          </w:p>
          <w:p>
            <w:pPr>
              <w:pStyle w:val="null3"/>
              <w:ind w:firstLine="420"/>
              <w:jc w:val="both"/>
            </w:pPr>
            <w:r>
              <w:rPr>
                <w:rFonts w:ascii="宋体" w:hAnsi="宋体" w:cs="宋体" w:eastAsia="宋体"/>
                <w:sz w:val="21"/>
                <w:color w:val="00B0F0"/>
              </w:rPr>
              <w:t>通过同时监测水位和流量数据，经过数据分析和拟合，可以得到水位</w:t>
            </w:r>
            <w:r>
              <w:rPr>
                <w:rFonts w:ascii="calibri, sans-serif" w:hAnsi="calibri, sans-serif" w:cs="calibri, sans-serif" w:eastAsia="calibri, sans-serif"/>
                <w:sz w:val="21"/>
                <w:color w:val="00B0F0"/>
              </w:rPr>
              <w:t>-</w:t>
            </w:r>
            <w:r>
              <w:rPr>
                <w:rFonts w:ascii="宋体" w:hAnsi="宋体" w:cs="宋体" w:eastAsia="宋体"/>
                <w:sz w:val="21"/>
                <w:color w:val="00B0F0"/>
              </w:rPr>
              <w:t>流量关系曲线。这是一种重要的成果，在没有直接流量测量设备的情况下，只要知道水位，就可以利用该曲线估算流量。</w:t>
            </w:r>
          </w:p>
          <w:p>
            <w:pPr>
              <w:pStyle w:val="null3"/>
              <w:ind w:firstLine="420"/>
              <w:jc w:val="both"/>
            </w:pPr>
            <w:r>
              <w:rPr>
                <w:rFonts w:ascii="calibri, sans-serif" w:hAnsi="calibri, sans-serif" w:cs="calibri, sans-serif" w:eastAsia="calibri, sans-serif"/>
                <w:sz w:val="21"/>
                <w:color w:val="00B0F0"/>
              </w:rPr>
              <w:t>2</w:t>
            </w:r>
            <w:r>
              <w:rPr>
                <w:rFonts w:ascii="宋体" w:hAnsi="宋体" w:cs="宋体" w:eastAsia="宋体"/>
                <w:sz w:val="21"/>
                <w:color w:val="00B0F0"/>
              </w:rPr>
              <w:t>、质量要求</w:t>
            </w:r>
          </w:p>
          <w:p>
            <w:pPr>
              <w:pStyle w:val="null3"/>
              <w:ind w:firstLine="420"/>
              <w:jc w:val="both"/>
            </w:pPr>
            <w:r>
              <w:rPr>
                <w:rFonts w:ascii="calibri, sans-serif" w:hAnsi="calibri, sans-serif" w:cs="calibri, sans-serif" w:eastAsia="calibri, sans-serif"/>
                <w:sz w:val="21"/>
                <w:color w:val="00B0F0"/>
              </w:rPr>
              <w:t>2.1</w:t>
            </w:r>
            <w:r>
              <w:rPr>
                <w:rFonts w:ascii="宋体" w:hAnsi="宋体" w:cs="宋体" w:eastAsia="宋体"/>
                <w:sz w:val="21"/>
                <w:color w:val="00B0F0"/>
              </w:rPr>
              <w:t>准确性</w:t>
            </w:r>
          </w:p>
          <w:p>
            <w:pPr>
              <w:pStyle w:val="null3"/>
              <w:ind w:firstLine="420"/>
              <w:jc w:val="both"/>
            </w:pPr>
            <w:r>
              <w:rPr>
                <w:rFonts w:ascii="宋体" w:hAnsi="宋体" w:cs="宋体" w:eastAsia="宋体"/>
                <w:sz w:val="21"/>
                <w:color w:val="00B0F0"/>
              </w:rPr>
              <w:t>流量测量准确性</w:t>
            </w:r>
            <w:r>
              <w:rPr>
                <w:rFonts w:ascii="calibri, sans-serif" w:hAnsi="calibri, sans-serif" w:cs="calibri, sans-serif" w:eastAsia="calibri, sans-serif"/>
                <w:sz w:val="21"/>
                <w:color w:val="00B0F0"/>
              </w:rPr>
              <w:t>:</w:t>
            </w:r>
            <w:r>
              <w:rPr>
                <w:rFonts w:ascii="宋体" w:hAnsi="宋体" w:cs="宋体" w:eastAsia="宋体"/>
                <w:sz w:val="21"/>
                <w:color w:val="00B0F0"/>
              </w:rPr>
              <w:t>其流量测量相对误差控制在±</w:t>
            </w:r>
            <w:r>
              <w:rPr>
                <w:rFonts w:ascii="calibri, sans-serif" w:hAnsi="calibri, sans-serif" w:cs="calibri, sans-serif" w:eastAsia="calibri, sans-serif"/>
                <w:sz w:val="21"/>
                <w:color w:val="00B0F0"/>
              </w:rPr>
              <w:t>5%</w:t>
            </w:r>
            <w:r>
              <w:rPr>
                <w:rFonts w:ascii="宋体" w:hAnsi="宋体" w:cs="宋体" w:eastAsia="宋体"/>
                <w:sz w:val="21"/>
                <w:color w:val="00B0F0"/>
              </w:rPr>
              <w:t>以内。</w:t>
            </w:r>
          </w:p>
          <w:p>
            <w:pPr>
              <w:pStyle w:val="null3"/>
              <w:ind w:firstLine="420"/>
              <w:jc w:val="both"/>
            </w:pPr>
            <w:r>
              <w:rPr>
                <w:rFonts w:ascii="宋体" w:hAnsi="宋体" w:cs="宋体" w:eastAsia="宋体"/>
                <w:sz w:val="21"/>
                <w:color w:val="00B0F0"/>
              </w:rPr>
              <w:t>流速测量准确性</w:t>
            </w:r>
            <w:r>
              <w:rPr>
                <w:rFonts w:ascii="calibri, sans-serif" w:hAnsi="calibri, sans-serif" w:cs="calibri, sans-serif" w:eastAsia="calibri, sans-serif"/>
                <w:sz w:val="21"/>
                <w:color w:val="00B0F0"/>
              </w:rPr>
              <w:t>:</w:t>
            </w:r>
            <w:r>
              <w:rPr>
                <w:rFonts w:ascii="宋体" w:hAnsi="宋体" w:cs="宋体" w:eastAsia="宋体"/>
                <w:sz w:val="21"/>
                <w:color w:val="00B0F0"/>
              </w:rPr>
              <w:t>其相对误差在±</w:t>
            </w:r>
            <w:r>
              <w:rPr>
                <w:rFonts w:ascii="calibri, sans-serif" w:hAnsi="calibri, sans-serif" w:cs="calibri, sans-serif" w:eastAsia="calibri, sans-serif"/>
                <w:sz w:val="21"/>
                <w:color w:val="00B0F0"/>
              </w:rPr>
              <w:t>10%</w:t>
            </w:r>
            <w:r>
              <w:rPr>
                <w:rFonts w:ascii="宋体" w:hAnsi="宋体" w:cs="宋体" w:eastAsia="宋体"/>
                <w:sz w:val="21"/>
                <w:color w:val="00B0F0"/>
              </w:rPr>
              <w:t>以内。</w:t>
            </w:r>
          </w:p>
          <w:p>
            <w:pPr>
              <w:pStyle w:val="null3"/>
              <w:ind w:firstLine="420"/>
              <w:jc w:val="both"/>
            </w:pPr>
            <w:r>
              <w:rPr>
                <w:rFonts w:ascii="宋体" w:hAnsi="宋体" w:cs="宋体" w:eastAsia="宋体"/>
                <w:sz w:val="21"/>
                <w:color w:val="00B0F0"/>
              </w:rPr>
              <w:t>水位测量准确性</w:t>
            </w:r>
            <w:r>
              <w:rPr>
                <w:rFonts w:ascii="calibri, sans-serif" w:hAnsi="calibri, sans-serif" w:cs="calibri, sans-serif" w:eastAsia="calibri, sans-serif"/>
                <w:sz w:val="21"/>
                <w:color w:val="00B0F0"/>
              </w:rPr>
              <w:t>:</w:t>
            </w:r>
            <w:r>
              <w:rPr>
                <w:rFonts w:ascii="宋体" w:hAnsi="宋体" w:cs="宋体" w:eastAsia="宋体"/>
                <w:sz w:val="21"/>
                <w:color w:val="00B0F0"/>
              </w:rPr>
              <w:t>水位测量误差控制在厘米级，如±</w:t>
            </w:r>
            <w:r>
              <w:rPr>
                <w:rFonts w:ascii="calibri, sans-serif" w:hAnsi="calibri, sans-serif" w:cs="calibri, sans-serif" w:eastAsia="calibri, sans-serif"/>
                <w:sz w:val="21"/>
                <w:color w:val="00B0F0"/>
              </w:rPr>
              <w:t>1-2cm</w:t>
            </w:r>
            <w:r>
              <w:rPr>
                <w:rFonts w:ascii="宋体" w:hAnsi="宋体" w:cs="宋体" w:eastAsia="宋体"/>
                <w:sz w:val="21"/>
                <w:color w:val="00B0F0"/>
              </w:rPr>
              <w:t>。</w:t>
            </w:r>
          </w:p>
          <w:p>
            <w:pPr>
              <w:pStyle w:val="null3"/>
              <w:ind w:firstLine="420"/>
              <w:jc w:val="both"/>
            </w:pPr>
            <w:r>
              <w:rPr>
                <w:rFonts w:ascii="calibri, sans-serif" w:hAnsi="calibri, sans-serif" w:cs="calibri, sans-serif" w:eastAsia="calibri, sans-serif"/>
                <w:sz w:val="21"/>
                <w:color w:val="00B0F0"/>
              </w:rPr>
              <w:t>2.2</w:t>
            </w:r>
            <w:r>
              <w:rPr>
                <w:rFonts w:ascii="宋体" w:hAnsi="宋体" w:cs="宋体" w:eastAsia="宋体"/>
                <w:sz w:val="21"/>
                <w:color w:val="00B0F0"/>
              </w:rPr>
              <w:t>时效性</w:t>
            </w:r>
          </w:p>
          <w:p>
            <w:pPr>
              <w:pStyle w:val="null3"/>
              <w:ind w:firstLine="420"/>
              <w:jc w:val="both"/>
            </w:pPr>
            <w:r>
              <w:rPr>
                <w:rFonts w:ascii="宋体" w:hAnsi="宋体" w:cs="宋体" w:eastAsia="宋体"/>
                <w:sz w:val="21"/>
                <w:color w:val="00B0F0"/>
              </w:rPr>
              <w:t>实时数据时效性：对于实时流量监测，数据的更新频率要满足应用需求。</w:t>
            </w:r>
          </w:p>
          <w:p>
            <w:pPr>
              <w:pStyle w:val="null3"/>
              <w:ind w:firstLine="420"/>
              <w:jc w:val="both"/>
            </w:pPr>
            <w:r>
              <w:rPr>
                <w:rFonts w:ascii="宋体" w:hAnsi="宋体" w:cs="宋体" w:eastAsia="宋体"/>
                <w:sz w:val="21"/>
                <w:color w:val="00B0F0"/>
              </w:rPr>
              <w:t>历史数据整理时效性：对历史数据的整理和分析也有时间要求。应定期（如每月或每年）对积累的流量数据进行整理和归档，及时发现数据中的异常情况（如数据缺失、异常值等），并进行处理。历史数据的及时整理可以为水资源规划、水利工程建设等长期决策提供支持。</w:t>
            </w:r>
          </w:p>
          <w:p>
            <w:pPr>
              <w:pStyle w:val="null3"/>
              <w:jc w:val="both"/>
            </w:pPr>
            <w:r>
              <w:rPr>
                <w:rFonts w:ascii="宋体" w:hAnsi="宋体" w:cs="宋体" w:eastAsia="宋体"/>
                <w:sz w:val="21"/>
                <w:color w:val="00B0F0"/>
              </w:rPr>
              <w:t>三、服务要求</w:t>
            </w:r>
          </w:p>
          <w:p>
            <w:pPr>
              <w:pStyle w:val="null3"/>
              <w:ind w:firstLine="420"/>
              <w:jc w:val="both"/>
            </w:pPr>
            <w:r>
              <w:rPr>
                <w:rFonts w:ascii="calibri, sans-serif" w:hAnsi="calibri, sans-serif" w:cs="calibri, sans-serif" w:eastAsia="calibri, sans-serif"/>
                <w:sz w:val="21"/>
                <w:color w:val="00B0F0"/>
              </w:rPr>
              <w:t>1</w:t>
            </w:r>
            <w:r>
              <w:rPr>
                <w:rFonts w:ascii="宋体" w:hAnsi="宋体" w:cs="宋体" w:eastAsia="宋体"/>
                <w:sz w:val="21"/>
                <w:color w:val="00B0F0"/>
              </w:rPr>
              <w:t>、确保设备的种类和数量满足服务需求。</w:t>
            </w:r>
          </w:p>
          <w:p>
            <w:pPr>
              <w:pStyle w:val="null3"/>
              <w:ind w:firstLine="420"/>
              <w:jc w:val="both"/>
            </w:pPr>
            <w:r>
              <w:rPr>
                <w:rFonts w:ascii="calibri, sans-serif" w:hAnsi="calibri, sans-serif" w:cs="calibri, sans-serif" w:eastAsia="calibri, sans-serif"/>
                <w:sz w:val="21"/>
                <w:color w:val="00B0F0"/>
              </w:rPr>
              <w:t>2</w:t>
            </w:r>
            <w:r>
              <w:rPr>
                <w:rFonts w:ascii="宋体" w:hAnsi="宋体" w:cs="宋体" w:eastAsia="宋体"/>
                <w:sz w:val="21"/>
                <w:color w:val="00B0F0"/>
              </w:rPr>
              <w:t>、服务提供方需要对设备进行定期的检测和维护保养，确保设备处于良好的工作状态。</w:t>
            </w:r>
          </w:p>
          <w:p>
            <w:pPr>
              <w:pStyle w:val="null3"/>
              <w:ind w:firstLine="420"/>
              <w:jc w:val="both"/>
            </w:pPr>
            <w:r>
              <w:rPr>
                <w:rFonts w:ascii="calibri, sans-serif" w:hAnsi="calibri, sans-serif" w:cs="calibri, sans-serif" w:eastAsia="calibri, sans-serif"/>
                <w:sz w:val="21"/>
                <w:color w:val="00B0F0"/>
              </w:rPr>
              <w:t>3</w:t>
            </w:r>
            <w:r>
              <w:rPr>
                <w:rFonts w:ascii="宋体" w:hAnsi="宋体" w:cs="宋体" w:eastAsia="宋体"/>
                <w:sz w:val="21"/>
                <w:color w:val="00B0F0"/>
              </w:rPr>
              <w:t>、响应时间：对于故障报告，服务提供方需要在规定的时间内响应并到达现场检修。</w:t>
            </w:r>
          </w:p>
          <w:p>
            <w:pPr>
              <w:pStyle w:val="null3"/>
              <w:ind w:firstLine="420"/>
              <w:jc w:val="both"/>
            </w:pPr>
            <w:r>
              <w:rPr>
                <w:rFonts w:ascii="calibri, sans-serif" w:hAnsi="calibri, sans-serif" w:cs="calibri, sans-serif" w:eastAsia="calibri, sans-serif"/>
                <w:sz w:val="21"/>
                <w:color w:val="00B0F0"/>
              </w:rPr>
              <w:t>4</w:t>
            </w:r>
            <w:r>
              <w:rPr>
                <w:rFonts w:ascii="宋体" w:hAnsi="宋体" w:cs="宋体" w:eastAsia="宋体"/>
                <w:sz w:val="21"/>
                <w:color w:val="00B0F0"/>
              </w:rPr>
              <w:t>、工作报告：服务提供方需要定期提交工作报告，总结观测工作情况。</w:t>
            </w:r>
          </w:p>
          <w:p>
            <w:pPr>
              <w:pStyle w:val="null3"/>
              <w:ind w:firstLine="420"/>
              <w:jc w:val="both"/>
            </w:pPr>
            <w:r>
              <w:rPr>
                <w:rFonts w:ascii="calibri, sans-serif" w:hAnsi="calibri, sans-serif" w:cs="calibri, sans-serif" w:eastAsia="calibri, sans-serif"/>
                <w:sz w:val="21"/>
                <w:color w:val="00B0F0"/>
              </w:rPr>
              <w:t>5</w:t>
            </w:r>
            <w:r>
              <w:rPr>
                <w:rFonts w:ascii="宋体" w:hAnsi="宋体" w:cs="宋体" w:eastAsia="宋体"/>
                <w:sz w:val="21"/>
                <w:color w:val="00B0F0"/>
              </w:rPr>
              <w:t>、保密事项：服务提供方可能需要承担并承诺监测数据及资料的保密责任。</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验收标准：满足国家、省市相关规范要求。 验收方法：见采购文件合同附件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观测设备安装完成经甲方确认后</w:t>
      </w:r>
      <w:r>
        <w:rPr/>
        <w:t xml:space="preserve"> ，达到付款条件起 </w:t>
      </w:r>
      <w:r>
        <w:rPr/>
        <w:t>10</w:t>
      </w:r>
      <w:r>
        <w:rPr/>
        <w:t xml:space="preserve"> 日内，支付合同总金额的 </w:t>
      </w:r>
      <w:r>
        <w:rPr/>
        <w:t>85.00</w:t>
      </w:r>
      <w:r>
        <w:rPr/>
        <w:t>%。</w:t>
      </w:r>
    </w:p>
    <w:p>
      <w:pPr>
        <w:pStyle w:val="null3"/>
      </w:pPr>
      <w:r>
        <w:rPr/>
        <w:t>采购包1：</w:t>
      </w:r>
      <w:r>
        <w:rPr/>
        <w:t xml:space="preserve"> 付款条件说明： </w:t>
      </w:r>
      <w:r>
        <w:rPr/>
        <w:t>水文观测提交成果资料经甲方验收合格后</w:t>
      </w:r>
      <w:r>
        <w:rPr/>
        <w:t xml:space="preserve"> ，达到付款条件起 </w:t>
      </w:r>
      <w:r>
        <w:rPr/>
        <w:t>10</w:t>
      </w:r>
      <w:r>
        <w:rPr/>
        <w:t xml:space="preserve"> 日内，支付合同总金额的 </w:t>
      </w:r>
      <w:r>
        <w:rPr/>
        <w:t>15.00</w:t>
      </w:r>
      <w:r>
        <w:rPr/>
        <w:t>%。</w:t>
      </w:r>
    </w:p>
    <w:p>
      <w:pPr>
        <w:pStyle w:val="null3"/>
        <w:outlineLvl w:val="3"/>
      </w:pPr>
      <w:r>
        <w:rPr>
          <w:sz w:val="24"/>
          <w:b/>
        </w:rPr>
        <w:t>3.3.6违约责任及解决争议的方法</w:t>
      </w:r>
    </w:p>
    <w:p>
      <w:pPr>
        <w:pStyle w:val="null3"/>
      </w:pPr>
      <w:r>
        <w:rPr/>
        <w:t>采购包1：</w:t>
      </w:r>
    </w:p>
    <w:p>
      <w:pPr>
        <w:pStyle w:val="null3"/>
      </w:pPr>
      <w:r>
        <w:rPr/>
        <w:t>见采购文件合同附件</w:t>
      </w:r>
    </w:p>
    <w:p>
      <w:pPr>
        <w:pStyle w:val="null3"/>
        <w:outlineLvl w:val="2"/>
      </w:pPr>
      <w:r>
        <w:rPr>
          <w:sz w:val="28"/>
          <w:b/>
        </w:rPr>
        <w:t>3.4其他要求</w:t>
      </w:r>
    </w:p>
    <w:p>
      <w:pPr>
        <w:pStyle w:val="null3"/>
      </w:pPr>
      <w:r>
        <w:rPr/>
        <w:t>1、响应文件中要求签字或盖章处可使用电子印章或加盖印章纸质文件扫描件的方式。 2、磋商结束后，所有响应人须向采购人另行无偿提供与本项目电子响应文件一致的响应文件（具体形式及时间以采购人后期要求为准）。 3、采购文件中出现的措辞“招标文件”、“投标文件”、“招标人”、“投标人”应当分别按“采购文件”、“响应文件”、“采购人”、“供应商”进行理解。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提供注册登记凭证（营业执照、其他组织经营的合法凭证，自然人的提供身份证明文件）。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提供2023年经第三方审计的财务报告（包括四表一注，即资产负债表、利润表、现金流量表、所有者权益变动表及其附注），且无反对意见；事业法人提供部门决算报告； /或在磋商时间前六个月内其基本开户银行出具的资信证明（附《基本存款账户信息》或《银行开户许可证》复印件）；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具有依法缴纳税收的良好记录</w:t>
            </w:r>
          </w:p>
        </w:tc>
        <w:tc>
          <w:tcPr>
            <w:tcW w:type="dxa" w:w="3322"/>
          </w:tcPr>
          <w:p>
            <w:pPr>
              <w:pStyle w:val="null3"/>
            </w:pPr>
            <w:r>
              <w:rPr/>
              <w:t>提供缴费所属日期为磋商时间前12个月内任一月份（磋商时间当月不计入）的增值税（或企业所得税）缴费凭据或税务机关出具的完税证明/在法规范围内不需提供的应出具书面说明和证明文件。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具有依法缴纳社会保障资金的良好记录</w:t>
            </w:r>
          </w:p>
        </w:tc>
        <w:tc>
          <w:tcPr>
            <w:tcW w:type="dxa" w:w="3322"/>
          </w:tcPr>
          <w:p>
            <w:pPr>
              <w:pStyle w:val="null3"/>
            </w:pPr>
            <w:r>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信誉要求</w:t>
            </w:r>
          </w:p>
        </w:tc>
        <w:tc>
          <w:tcPr>
            <w:tcW w:type="dxa" w:w="3322"/>
          </w:tcPr>
          <w:p>
            <w:pPr>
              <w:pStyle w:val="null3"/>
            </w:pPr>
            <w:r>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法定代表人身份证明或法人代表授权书</w:t>
            </w:r>
          </w:p>
        </w:tc>
        <w:tc>
          <w:tcPr>
            <w:tcW w:type="dxa" w:w="3322"/>
          </w:tcPr>
          <w:p>
            <w:pPr>
              <w:pStyle w:val="null3"/>
            </w:pPr>
            <w:r>
              <w:rPr/>
              <w:t>提供法定代表人身份证明或法人代表授权书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按照磋商文件要求的格式编写，磋商报价内容无重大缺漏项。</w:t>
            </w:r>
          </w:p>
        </w:tc>
        <w:tc>
          <w:tcPr>
            <w:tcW w:type="dxa" w:w="1661"/>
          </w:tcPr>
          <w:p>
            <w:pPr>
              <w:pStyle w:val="null3"/>
            </w:pPr>
            <w:r>
              <w:rPr/>
              <w:t>响应文件封面 供应商认为应补充的其他资料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符合磋商文件签字盖章的要求。</w:t>
            </w:r>
          </w:p>
        </w:tc>
        <w:tc>
          <w:tcPr>
            <w:tcW w:type="dxa" w:w="1661"/>
          </w:tcPr>
          <w:p>
            <w:pPr>
              <w:pStyle w:val="null3"/>
            </w:pPr>
            <w:r>
              <w:rPr/>
              <w:t>响应文件封面 供应商认为应补充的其他资料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自合同签订之日起365日历天</w:t>
            </w:r>
          </w:p>
        </w:tc>
        <w:tc>
          <w:tcPr>
            <w:tcW w:type="dxa" w:w="1661"/>
          </w:tcPr>
          <w:p>
            <w:pPr>
              <w:pStyle w:val="null3"/>
            </w:pPr>
            <w:r>
              <w:rPr/>
              <w:t>响应文件封面 供应商认为应补充的其他资料 中小企业声明函 残疾人福利性单位声明函 商务应答表 服务方案 供应商应提交的相关资格证明材料 服务内容及服务要求应答表 标的清单 报价表 响应函 监狱企业的证明文件</w:t>
            </w:r>
          </w:p>
        </w:tc>
      </w:tr>
      <w:tr>
        <w:tc>
          <w:tcPr>
            <w:tcW w:type="dxa" w:w="831"/>
          </w:tcPr>
          <w:p>
            <w:pPr>
              <w:pStyle w:val="null3"/>
            </w:pPr>
            <w:r>
              <w:rPr/>
              <w:t>5</w:t>
            </w:r>
          </w:p>
        </w:tc>
        <w:tc>
          <w:tcPr>
            <w:tcW w:type="dxa" w:w="2492"/>
          </w:tcPr>
          <w:p>
            <w:pPr>
              <w:pStyle w:val="null3"/>
            </w:pPr>
            <w:r>
              <w:rPr/>
              <w:t>服务标准</w:t>
            </w:r>
          </w:p>
        </w:tc>
        <w:tc>
          <w:tcPr>
            <w:tcW w:type="dxa" w:w="3322"/>
          </w:tcPr>
          <w:p>
            <w:pPr>
              <w:pStyle w:val="null3"/>
            </w:pPr>
            <w:r>
              <w:rPr/>
              <w:t>满足国家、省市相关规范要求。</w:t>
            </w:r>
          </w:p>
        </w:tc>
        <w:tc>
          <w:tcPr>
            <w:tcW w:type="dxa" w:w="1661"/>
          </w:tcPr>
          <w:p>
            <w:pPr>
              <w:pStyle w:val="null3"/>
            </w:pPr>
            <w:r>
              <w:rPr/>
              <w:t>标的清单 响应函</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有效磋商报价</w:t>
            </w:r>
          </w:p>
        </w:tc>
        <w:tc>
          <w:tcPr>
            <w:tcW w:type="dxa" w:w="3322"/>
          </w:tcPr>
          <w:p>
            <w:pPr>
              <w:pStyle w:val="null3"/>
            </w:pPr>
            <w:r>
              <w:rPr/>
              <w:t>不高于采购预算及最高限价</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其他响应性内容</w:t>
            </w:r>
          </w:p>
        </w:tc>
        <w:tc>
          <w:tcPr>
            <w:tcW w:type="dxa" w:w="3322"/>
          </w:tcPr>
          <w:p>
            <w:pPr>
              <w:pStyle w:val="null3"/>
            </w:pPr>
            <w:r>
              <w:rPr/>
              <w:t>符合磋商文件中规定的其他实质性要求</w:t>
            </w:r>
          </w:p>
        </w:tc>
        <w:tc>
          <w:tcPr>
            <w:tcW w:type="dxa" w:w="1661"/>
          </w:tcPr>
          <w:p>
            <w:pPr>
              <w:pStyle w:val="null3"/>
            </w:pPr>
            <w:r>
              <w:rPr/>
              <w:t>响应文件封面 供应商认为应补充的其他资料 中小企业声明函 残疾人福利性单位声明函 商务应答表 服务方案 供应商应提交的相关资格证明材料 服务内容及服务要求应答表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1、对本项目的解读清晰、明确，理解深度和准确性高的得10分； 2、对本项目的解读基本准确，具有一定的深度和准确性的得7分； 3、对本项目解读不够清晰、明确，理解缺乏深度和准确性的得4分； 4、未提供或理解偏差过大得0分。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对制定的总体方案进行评分： 1、全部响应采购要求与技术要求，方案详细、科学合理，有健全的实施流程、完整且可行的得20分； 2、响应采购要求与技术要求，方案较齐全、科学合理、实施流程合理的得15分； 3、基本响应采购要求与技术要求，合理性、可行性欠缺得10分； 4、部分响应采购要求与技术要求，存在较多遗漏或不合理的地方，实施流程存在明显缺陷，可能导致方案无法有效实施得5分； 5、未提供或方案偏差过大的得0分。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1、质量保证措施有针对性、且合理可行得15分； 2、有质量保证措施、较可行的得12分； 3、质量保证措施有欠缺得9分。 4、质量保证措施存在明显的疏漏，可能导致项目质量无法得到有效保障得6分。 5、未提供或方案偏差过大的得0分。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进度保障措施</w:t>
            </w:r>
          </w:p>
        </w:tc>
        <w:tc>
          <w:tcPr>
            <w:tcW w:type="dxa" w:w="2492"/>
          </w:tcPr>
          <w:p>
            <w:pPr>
              <w:pStyle w:val="null3"/>
            </w:pPr>
            <w:r>
              <w:rPr/>
              <w:t>1、进度保证措施有针对性、且合理可行得15分； 2、有进度保证措施、较可行的得12分； 3、进度保证措施有欠缺得9分。 4、进度保证措施存在明显的疏漏，可能导致项目进度无法得到有效保障得6分。 5、未提供或方案偏差过大的得0分。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1、认识全面、难点分析透彻；应对措施有针对性、且合理可行的得10分； 2、认识全面、难点分析较透彻；有保证措施、较可行的得7分； 3、认识、难点分析欠缺；应对措施有欠缺的得4分。 4、未提供或方案偏差过大的得0分。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后续服务保障</w:t>
            </w:r>
          </w:p>
        </w:tc>
        <w:tc>
          <w:tcPr>
            <w:tcW w:type="dxa" w:w="2492"/>
          </w:tcPr>
          <w:p>
            <w:pPr>
              <w:pStyle w:val="null3"/>
            </w:pPr>
            <w:r>
              <w:rPr/>
              <w:t>1、根据供应商对本项目的后续服务方案、保障、承诺等进行综合评审：后续服务方案完整、详细，可行性强，得10分； 2、后续服务方案较完整、详细，可行性一般，得7分； 3、后续服务方案不够完整，可行性较差，得4分； 4、未提供或方案偏差过大得0分。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项目组人员配备</w:t>
            </w:r>
          </w:p>
        </w:tc>
        <w:tc>
          <w:tcPr>
            <w:tcW w:type="dxa" w:w="2492"/>
          </w:tcPr>
          <w:p>
            <w:pPr>
              <w:pStyle w:val="null3"/>
            </w:pPr>
            <w:r>
              <w:rPr/>
              <w:t>1、各专业岗位人员配备齐全，履历丰富、人员职责明确、分工清晰、非常合理得10分； 2、各专业岗位人员配备基本齐全，履历较丰富，人员职责基本明确、分工较清晰得7分； 3、各专业岗位人员配备不齐全，履历缺乏，人员职责不明确、分工不清晰得4分。 4、未提供或偏差过大得0分。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详见附件：供应商认为应补充的其他资料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