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鄠邑区第一污水处理厂存量资产经营权TOT转让项目</w:t>
      </w:r>
    </w:p>
    <w:p>
      <w:pPr>
        <w:pStyle w:val="null3"/>
        <w:jc w:val="center"/>
        <w:outlineLvl w:val="2"/>
      </w:pPr>
      <w:r>
        <w:rPr>
          <w:b/>
          <w:sz w:val="28"/>
        </w:rPr>
        <w:t>采购项目编号：</w:t>
      </w:r>
      <w:r>
        <w:rPr>
          <w:b/>
          <w:sz w:val="28"/>
        </w:rPr>
        <w:t>JZZX-ZFCG-2024-0001</w:t>
      </w:r>
      <w:r>
        <w:br/>
      </w:r>
      <w:r>
        <w:br/>
      </w:r>
      <w:r>
        <w:br/>
      </w:r>
    </w:p>
    <w:p>
      <w:pPr>
        <w:pStyle w:val="null3"/>
        <w:jc w:val="center"/>
        <w:outlineLvl w:val="2"/>
      </w:pPr>
      <w:r>
        <w:rPr>
          <w:b/>
          <w:sz w:val="28"/>
        </w:rPr>
        <w:t>西安市鄠邑区水务局</w:t>
      </w:r>
    </w:p>
    <w:p>
      <w:pPr>
        <w:pStyle w:val="null3"/>
        <w:jc w:val="center"/>
        <w:outlineLvl w:val="2"/>
      </w:pPr>
      <w:r>
        <w:rPr>
          <w:b/>
          <w:sz w:val="28"/>
        </w:rPr>
        <w:t>北京金准咨询有限责任公司</w:t>
      </w:r>
      <w:r>
        <w:rPr>
          <w:b/>
          <w:sz w:val="28"/>
        </w:rPr>
        <w:t>共同编制</w:t>
      </w:r>
    </w:p>
    <w:p>
      <w:pPr>
        <w:pStyle w:val="null3"/>
        <w:jc w:val="center"/>
        <w:outlineLvl w:val="2"/>
      </w:pPr>
      <w:r>
        <w:rPr>
          <w:b/>
          <w:sz w:val="28"/>
        </w:rPr>
        <w:t>2024年01月23日</w:t>
      </w:r>
    </w:p>
    <w:p>
      <w:pPr>
        <w:pStyle w:val="null3"/>
      </w:pPr>
      <w:r>
        <w:rPr/>
        <w:t xml:space="preserve"> </w:t>
      </w:r>
    </w:p>
    <w:p>
      <w:pPr>
        <w:pStyle w:val="null3"/>
        <w:jc w:val="center"/>
        <w:outlineLvl w:val="1"/>
      </w:pPr>
      <w:r>
        <w:rPr>
          <w:b/>
          <w:sz w:val="36"/>
        </w:rPr>
        <w:t>第一章 竞争性磋商邀请</w:t>
      </w:r>
    </w:p>
    <w:p>
      <w:pPr>
        <w:pStyle w:val="null3"/>
        <w:ind w:firstLine="480"/>
      </w:pPr>
      <w:r>
        <w:rPr/>
        <w:t>北京金准咨询有限责任公司</w:t>
      </w:r>
      <w:r>
        <w:rPr/>
        <w:t>（以下简称“代理机构”）受</w:t>
      </w:r>
      <w:r>
        <w:rPr/>
        <w:t>西安市鄠邑区水务局</w:t>
      </w:r>
      <w:r>
        <w:rPr/>
        <w:t>委托，拟对</w:t>
      </w:r>
      <w:r>
        <w:rPr/>
        <w:t>鄠邑区第一污水处理厂存量资产经营权TOT转让项目</w:t>
      </w:r>
      <w:r>
        <w:rPr/>
        <w:t>采用竞争性磋商采购方式进行采购，兹邀请供应商参加本项目的竞争性磋商。</w:t>
      </w:r>
    </w:p>
    <w:p>
      <w:pPr>
        <w:pStyle w:val="null3"/>
        <w:outlineLvl w:val="2"/>
      </w:pPr>
      <w:r>
        <w:rPr>
          <w:b/>
          <w:sz w:val="28"/>
        </w:rPr>
        <w:t>一、项目编号：</w:t>
      </w:r>
      <w:r>
        <w:rPr>
          <w:b/>
          <w:sz w:val="28"/>
        </w:rPr>
        <w:t>JZZX-ZFCG-2024-0001</w:t>
      </w:r>
    </w:p>
    <w:p>
      <w:pPr>
        <w:pStyle w:val="null3"/>
        <w:outlineLvl w:val="2"/>
      </w:pPr>
      <w:r>
        <w:rPr>
          <w:b/>
          <w:sz w:val="28"/>
        </w:rPr>
        <w:t>二、项目名称：</w:t>
      </w:r>
      <w:r>
        <w:rPr>
          <w:b/>
          <w:sz w:val="28"/>
        </w:rPr>
        <w:t>鄠邑区第一污水处理厂存量资产经营权TOT转让项目</w:t>
      </w:r>
    </w:p>
    <w:p>
      <w:pPr>
        <w:pStyle w:val="null3"/>
        <w:outlineLvl w:val="2"/>
      </w:pPr>
      <w:r>
        <w:rPr>
          <w:b/>
          <w:sz w:val="28"/>
        </w:rPr>
        <w:t>三、磋商项目简介</w:t>
      </w:r>
    </w:p>
    <w:p>
      <w:pPr>
        <w:pStyle w:val="null3"/>
        <w:ind w:firstLine="480"/>
      </w:pPr>
      <w:r>
        <w:rPr/>
        <w:t>本项目为存量资产经营权TOT转让项目。 西安市鄠邑区人民政府授权鄠邑区水务局，采用特许经营模式盘活鄠邑区第一污水处理厂存量资产，本特许经营项目的运作方式为转让-运营-移交（TOT），由成交供应商组建项目公司，在特许经营期内由项目公司负责本项目的投融资和运营维护，特许经营期满后，项目公司将项目设施设备无偿、完好地移交给鄠邑区水务局或政府指定机构。</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上述材料须加盖供应商电子签章。</w:t>
      </w:r>
    </w:p>
    <w:p>
      <w:pPr>
        <w:pStyle w:val="null3"/>
      </w:pPr>
      <w:r>
        <w:rPr/>
        <w:t>2、财务状况报告：提供2022年度经审计的完整财务报告（财务报告需包含资产负债表、利润表、现金流表、所有者权益变动表和财务报表附注；成立时间至提交响应文件截止时间不足一年的可提供成立后任意时段的资产负债表、利润表、现金流表）或其开标前三个月内基本开户银行出具的资信证明及其基本存款账户开户许可证（无基本存款账户开户许可证可提供其基本存款账户信息证明）（以上两种形式的资料提供任何一种即可）。上述材料须加盖供应商电子签章。</w:t>
      </w:r>
    </w:p>
    <w:p>
      <w:pPr>
        <w:pStyle w:val="null3"/>
      </w:pPr>
      <w:r>
        <w:rPr/>
        <w:t>3、税收缴纳证明：提供2023年6月至今已缴存的至少一个月的依法缴纳税款的相关凭据（时间以税款所属日期为准、税种须包含增值税或企业所得税）。依法免税或无须缴纳税款的供应商，应提供相应证明文件。上述材料须加盖供应商电子签章。</w:t>
      </w:r>
    </w:p>
    <w:p>
      <w:pPr>
        <w:pStyle w:val="null3"/>
      </w:pPr>
      <w:r>
        <w:rPr/>
        <w:t>4、社保缴纳证明：提供2023年6月至今已缴存任意一个月社会保障资金缴存单据或社保机构开具的社会保险参保缴费证明，依法不需要缴纳社会保障资金的单位应提供相应证明文件。上述材料须加盖供应商电子签章。</w:t>
      </w:r>
    </w:p>
    <w:p>
      <w:pPr>
        <w:pStyle w:val="null3"/>
      </w:pPr>
      <w:r>
        <w:rPr/>
        <w:t>5、履约承诺：具备履行合同所必需的设备和专业技术能力的证明材料或书面声明。上述材料须加盖供应商电子签章。</w:t>
      </w:r>
    </w:p>
    <w:p>
      <w:pPr>
        <w:pStyle w:val="null3"/>
      </w:pPr>
      <w:r>
        <w:rPr/>
        <w:t>6、无重大违法记录的书面声明：参加政府采购活动前三年内在经营活动中没有重大违法记录的书面声明。上述材料须加盖供应商电子签章。</w:t>
      </w:r>
    </w:p>
    <w:p>
      <w:pPr>
        <w:pStyle w:val="null3"/>
      </w:pPr>
      <w:r>
        <w:rPr/>
        <w:t>7、企业信誉截图：供应商不得为中国执行信息公开网（http：//zxgk.court.gov.cn/shixin/）中列入“失信被执行人”及“信用中国”网站（https：//www.creditchina.gov.cn/）中列入“重大税收违法失信主体”当事人名单的供应商，不得为中国政府采购网（https：//www.ccgp.gov.cn/）政府采购“严重违法失信行为记录名单”中被财政部门禁止参加政府采购活动的供应商。上述材料须加盖供应商电子签章。</w:t>
      </w:r>
    </w:p>
    <w:p>
      <w:pPr>
        <w:pStyle w:val="null3"/>
      </w:pPr>
      <w:r>
        <w:rPr/>
        <w:t>8、法定代表人授权委托书：提供法定代表人授权书（附法定代表人、被授权人身份证复印件），法定代表人直接参加投标，须提供法定代表人身份证明及身份证复印件）。</w:t>
      </w:r>
    </w:p>
    <w:p>
      <w:pPr>
        <w:pStyle w:val="null3"/>
      </w:pPr>
      <w:r>
        <w:rPr/>
        <w:t>9、非联合体声明：本项目不接受联合体投标，不允许分包。供应商提供《非联合体不分包投标声明》，视为独立投标，不分包。</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西安市鄠邑区水务局</w:t>
      </w:r>
    </w:p>
    <w:p>
      <w:pPr>
        <w:pStyle w:val="null3"/>
      </w:pPr>
      <w:r>
        <w:rPr/>
        <w:t xml:space="preserve"> 地址： </w:t>
      </w:r>
      <w:r>
        <w:rPr/>
        <w:t>西安市鄠邑区沣京路18号</w:t>
      </w:r>
    </w:p>
    <w:p>
      <w:pPr>
        <w:pStyle w:val="null3"/>
      </w:pPr>
      <w:r>
        <w:rPr/>
        <w:t xml:space="preserve"> 邮编： </w:t>
      </w:r>
      <w:r>
        <w:rPr/>
        <w:t>710300</w:t>
      </w:r>
    </w:p>
    <w:p>
      <w:pPr>
        <w:pStyle w:val="null3"/>
      </w:pPr>
      <w:r>
        <w:rPr/>
        <w:t xml:space="preserve"> 联系人： </w:t>
      </w:r>
      <w:r>
        <w:rPr/>
        <w:t>杨果</w:t>
      </w:r>
    </w:p>
    <w:p>
      <w:pPr>
        <w:pStyle w:val="null3"/>
      </w:pPr>
      <w:r>
        <w:rPr/>
        <w:t xml:space="preserve"> 联系电话： </w:t>
      </w:r>
      <w:r>
        <w:rPr/>
        <w:t>029-84835136</w:t>
      </w:r>
    </w:p>
    <w:p>
      <w:pPr>
        <w:pStyle w:val="null3"/>
        <w:outlineLvl w:val="3"/>
      </w:pPr>
      <w:r>
        <w:rPr>
          <w:b/>
          <w:sz w:val="24"/>
        </w:rPr>
        <w:t>代理机构：</w:t>
      </w:r>
      <w:r>
        <w:rPr>
          <w:b/>
          <w:sz w:val="24"/>
        </w:rPr>
        <w:t>北京金准咨询有限责任公司</w:t>
      </w:r>
    </w:p>
    <w:p>
      <w:pPr>
        <w:pStyle w:val="null3"/>
      </w:pPr>
      <w:r>
        <w:rPr/>
        <w:t xml:space="preserve"> 地址： </w:t>
      </w:r>
      <w:r>
        <w:rPr/>
        <w:t>北京市市辖区西城区北京市西城区新街口北大街3号3层301-L305</w:t>
      </w:r>
    </w:p>
    <w:p>
      <w:pPr>
        <w:pStyle w:val="null3"/>
      </w:pPr>
      <w:r>
        <w:rPr/>
        <w:t xml:space="preserve"> 邮编： </w:t>
      </w:r>
      <w:r>
        <w:rPr/>
        <w:t>100035</w:t>
      </w:r>
    </w:p>
    <w:p>
      <w:pPr>
        <w:pStyle w:val="null3"/>
      </w:pPr>
      <w:r>
        <w:rPr/>
        <w:t xml:space="preserve"> 联系人： </w:t>
      </w:r>
      <w:r>
        <w:rPr/>
        <w:t>马玉杰</w:t>
      </w:r>
    </w:p>
    <w:p>
      <w:pPr>
        <w:pStyle w:val="null3"/>
      </w:pPr>
      <w:r>
        <w:rPr/>
        <w:t xml:space="preserve"> 联系电话： </w:t>
      </w:r>
      <w:r>
        <w:rPr/>
        <w:t>18137797561</w:t>
      </w:r>
    </w:p>
    <w:p>
      <w:pPr>
        <w:pStyle w:val="null3"/>
        <w:outlineLvl w:val="3"/>
      </w:pPr>
      <w:r>
        <w:rPr>
          <w:b/>
          <w:sz w:val="24"/>
        </w:rPr>
        <w:t>采购监督机构：</w:t>
      </w:r>
      <w:r>
        <w:rPr>
          <w:b/>
          <w:sz w:val="24"/>
        </w:rPr>
        <w:t>鄠邑区政府采购管理股</w:t>
      </w:r>
    </w:p>
    <w:p>
      <w:pPr>
        <w:pStyle w:val="null3"/>
        <w:ind w:firstLine="480"/>
      </w:pPr>
      <w:r>
        <w:rPr/>
        <w:t>联系人：</w:t>
      </w:r>
      <w:r>
        <w:rPr/>
        <w:t>李清维</w:t>
      </w:r>
    </w:p>
    <w:p>
      <w:pPr>
        <w:pStyle w:val="null3"/>
        <w:ind w:firstLine="480"/>
      </w:pPr>
      <w:r>
        <w:rPr/>
        <w:t>联系电话：</w:t>
      </w:r>
      <w:r>
        <w:rPr/>
        <w:t>029-84882872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采购包1：2.51元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西安市鄠邑区水务局</w:t>
      </w:r>
      <w:r>
        <w:rPr/>
        <w:t>和</w:t>
      </w:r>
      <w:r>
        <w:rPr/>
        <w:t>北京金准咨询有限责任公司</w:t>
      </w:r>
      <w:r>
        <w:rPr/>
        <w:t>享有。对磋商文件中供应商参加本次政府采购活动应当具备的条件，磋商项目技术、服务、商务及其他要求，评审细则及标准由</w:t>
      </w:r>
      <w:r>
        <w:rPr/>
        <w:t>西安市鄠邑区水务局</w:t>
      </w:r>
      <w:r>
        <w:rPr/>
        <w:t>负责解释。除上述磋商文件内容，其他内容由</w:t>
      </w:r>
      <w:r>
        <w:rPr/>
        <w:t>北京金准咨询有限责任公司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西安市鄠邑区水务局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北京金准咨询有限责任公司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按国家现行项目实施规范和合同规定的验收评定标准及竞争性磋商文件的要求组织验收或考核</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北京金准咨询有限责任公司</w:t>
      </w:r>
      <w:r>
        <w:rPr/>
        <w:t xml:space="preserve"> 负责答复；供应商对除采购需求外的采购文件的询问、质疑由</w:t>
      </w:r>
      <w:r>
        <w:rPr/>
        <w:t>北京金准咨询有限责任公司</w:t>
      </w:r>
      <w:r>
        <w:rPr/>
        <w:t xml:space="preserve"> 负责答复；供应商对采购过程、采购结果的询问、质疑由 </w:t>
      </w:r>
      <w:r>
        <w:rPr/>
        <w:t>北京金准咨询有限责任公司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联系人：马玉杰</w:t>
      </w:r>
    </w:p>
    <w:p>
      <w:pPr>
        <w:pStyle w:val="null3"/>
      </w:pPr>
      <w:r>
        <w:rPr/>
        <w:t>联系电话：18137797561</w:t>
      </w:r>
    </w:p>
    <w:p>
      <w:pPr>
        <w:pStyle w:val="null3"/>
      </w:pPr>
      <w:r>
        <w:rPr/>
        <w:t>地址：西安经开区未央路301号西安城发中心4层420室 如有特殊紧急情况请提前电联</w:t>
      </w:r>
    </w:p>
    <w:p>
      <w:pPr>
        <w:pStyle w:val="null3"/>
      </w:pPr>
      <w:r>
        <w:rPr/>
        <w:t>邮编：710021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rFonts w:ascii="宋体" w:hAnsi="宋体" w:cs="宋体" w:eastAsia="宋体"/>
          <w:color w:val="000000"/>
          <w:sz w:val="21"/>
        </w:rPr>
        <w:t>本项目为存量资产经营权</w:t>
      </w:r>
      <w:r>
        <w:rPr>
          <w:rFonts w:ascii="&quot;times new roman&quot;" w:hAnsi="&quot;times new roman&quot;" w:cs="&quot;times new roman&quot;" w:eastAsia="&quot;times new roman&quot;"/>
          <w:color w:val="000000"/>
          <w:sz w:val="21"/>
        </w:rPr>
        <w:t>TOT</w:t>
      </w:r>
      <w:r>
        <w:rPr>
          <w:rFonts w:ascii="宋体" w:hAnsi="宋体" w:cs="宋体" w:eastAsia="宋体"/>
          <w:color w:val="000000"/>
          <w:sz w:val="21"/>
        </w:rPr>
        <w:t>转让项目。</w:t>
      </w:r>
    </w:p>
    <w:p>
      <w:pPr>
        <w:pStyle w:val="null3"/>
        <w:ind w:firstLine="428"/>
        <w:jc w:val="both"/>
      </w:pPr>
      <w:r>
        <w:rPr>
          <w:rFonts w:ascii="宋体" w:hAnsi="宋体" w:cs="宋体" w:eastAsia="宋体"/>
          <w:color w:val="000000"/>
          <w:sz w:val="21"/>
        </w:rPr>
        <w:t>西安市鄠邑区人民政府授权鄠邑区水务局</w:t>
      </w:r>
      <w:r>
        <w:rPr>
          <w:rFonts w:ascii="宋体" w:hAnsi="宋体" w:cs="宋体" w:eastAsia="宋体"/>
          <w:color w:val="000000"/>
          <w:sz w:val="21"/>
        </w:rPr>
        <w:t>采用特许经营模式盘活鄠邑区第一污水处理厂存量资产，本特许经营项目的运作方式为转让</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运营</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移交（</w:t>
      </w:r>
      <w:r>
        <w:rPr>
          <w:rFonts w:ascii="times new roman, times, serif" w:hAnsi="times new roman, times, serif" w:cs="times new roman, times, serif" w:eastAsia="times new roman, times, serif"/>
          <w:color w:val="000000"/>
          <w:sz w:val="21"/>
        </w:rPr>
        <w:t>TOT</w:t>
      </w:r>
      <w:r>
        <w:rPr>
          <w:rFonts w:ascii="宋体" w:hAnsi="宋体" w:cs="宋体" w:eastAsia="宋体"/>
          <w:color w:val="000000"/>
          <w:sz w:val="21"/>
        </w:rPr>
        <w:t>）。由成交供应商组建项目公司，在特许经营期内由项目公司负责本项目的投融资和运营维护，特许经营期满后，项目公司将项目设施设备无偿、完好地移交给鄠邑区水务局或政府指定机构。</w:t>
      </w:r>
    </w:p>
    <w:p>
      <w:pPr>
        <w:pStyle w:val="null3"/>
        <w:ind w:firstLine="428"/>
        <w:jc w:val="both"/>
      </w:pPr>
      <w:r>
        <w:rPr>
          <w:rFonts w:ascii="宋体" w:hAnsi="宋体" w:cs="宋体" w:eastAsia="宋体"/>
          <w:color w:val="000000"/>
          <w:sz w:val="21"/>
        </w:rPr>
        <w:t>西安市鄠邑区第一污水处理厂位于鄠邑区城区西北部涝河东岸，六老庵、南河头一带，处理对象为生活污水和少量工业废水，服务范围为以鄠邑区铁路线为界以西等区域的全部</w:t>
      </w:r>
      <w:r>
        <w:rPr>
          <w:rFonts w:ascii="宋体" w:hAnsi="宋体" w:cs="宋体" w:eastAsia="宋体"/>
          <w:color w:val="000000"/>
          <w:sz w:val="21"/>
        </w:rPr>
        <w:t>生活</w:t>
      </w:r>
      <w:r>
        <w:rPr>
          <w:rFonts w:ascii="宋体" w:hAnsi="宋体" w:cs="宋体" w:eastAsia="宋体"/>
          <w:color w:val="000000"/>
          <w:sz w:val="21"/>
        </w:rPr>
        <w:t>污水</w:t>
      </w:r>
      <w:r>
        <w:rPr>
          <w:rFonts w:ascii="宋体" w:hAnsi="宋体" w:cs="宋体" w:eastAsia="宋体"/>
          <w:color w:val="000000"/>
          <w:sz w:val="21"/>
        </w:rPr>
        <w:t>及甲方要求乙方接纳并处理的鄠邑区其他生活污水</w:t>
      </w:r>
      <w:r>
        <w:rPr>
          <w:rFonts w:ascii="宋体" w:hAnsi="宋体" w:cs="宋体" w:eastAsia="宋体"/>
          <w:color w:val="000000"/>
          <w:sz w:val="21"/>
        </w:rPr>
        <w:t>。一污于</w:t>
      </w:r>
      <w:r>
        <w:rPr>
          <w:rFonts w:ascii="&quot;times new roman&quot;" w:hAnsi="&quot;times new roman&quot;" w:cs="&quot;times new roman&quot;" w:eastAsia="&quot;times new roman&quot;"/>
          <w:color w:val="000000"/>
          <w:sz w:val="21"/>
        </w:rPr>
        <w:t>2007</w:t>
      </w:r>
      <w:r>
        <w:rPr>
          <w:rFonts w:ascii="宋体" w:hAnsi="宋体" w:cs="宋体" w:eastAsia="宋体"/>
          <w:color w:val="000000"/>
          <w:sz w:val="21"/>
        </w:rPr>
        <w:t>年开始筹划建设，</w:t>
      </w:r>
      <w:r>
        <w:rPr>
          <w:rFonts w:ascii="times new roman, times, serif" w:hAnsi="times new roman, times, serif" w:cs="times new roman, times, serif" w:eastAsia="times new roman, times, serif"/>
          <w:color w:val="000000"/>
          <w:sz w:val="21"/>
        </w:rPr>
        <w:t>2010</w:t>
      </w:r>
      <w:r>
        <w:rPr>
          <w:rFonts w:ascii="宋体" w:hAnsi="宋体" w:cs="宋体" w:eastAsia="宋体"/>
          <w:color w:val="000000"/>
          <w:sz w:val="21"/>
        </w:rPr>
        <w:t>年建成一期</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万</w:t>
      </w:r>
      <w:r>
        <w:rPr>
          <w:rFonts w:ascii="times new roman, times, serif" w:hAnsi="times new roman, times, serif" w:cs="times new roman, times, serif" w:eastAsia="times new roman, times, serif"/>
          <w:color w:val="000000"/>
          <w:sz w:val="21"/>
        </w:rPr>
        <w:t>m³/d</w:t>
      </w: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2022</w:t>
      </w:r>
      <w:r>
        <w:rPr>
          <w:rFonts w:ascii="宋体" w:hAnsi="宋体" w:cs="宋体" w:eastAsia="宋体"/>
          <w:color w:val="000000"/>
          <w:sz w:val="21"/>
        </w:rPr>
        <w:t>年完成二期</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万</w:t>
      </w:r>
      <w:r>
        <w:rPr>
          <w:rFonts w:ascii="times new roman, times, serif" w:hAnsi="times new roman, times, serif" w:cs="times new roman, times, serif" w:eastAsia="times new roman, times, serif"/>
          <w:color w:val="000000"/>
          <w:sz w:val="21"/>
        </w:rPr>
        <w:t>m³/d</w:t>
      </w:r>
      <w:r>
        <w:rPr>
          <w:rFonts w:ascii="宋体" w:hAnsi="宋体" w:cs="宋体" w:eastAsia="宋体"/>
          <w:color w:val="000000"/>
          <w:sz w:val="21"/>
        </w:rPr>
        <w:t>扩建工作，目前出水水质执行《陕西省黄河流域污水综合排放标准》</w:t>
      </w:r>
      <w:r>
        <w:rPr>
          <w:rFonts w:ascii="times new roman, times, serif" w:hAnsi="times new roman, times, serif" w:cs="times new roman, times, serif" w:eastAsia="times new roman, times, serif"/>
          <w:color w:val="000000"/>
          <w:sz w:val="21"/>
        </w:rPr>
        <w:t>A</w:t>
      </w:r>
      <w:r>
        <w:rPr>
          <w:rFonts w:ascii="宋体" w:hAnsi="宋体" w:cs="宋体" w:eastAsia="宋体"/>
          <w:color w:val="000000"/>
          <w:sz w:val="21"/>
        </w:rPr>
        <w:t>标准，近</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年日均进水量为</w:t>
      </w:r>
      <w:r>
        <w:rPr>
          <w:rFonts w:ascii="times new roman, times, serif" w:hAnsi="times new roman, times, serif" w:cs="times new roman, times, serif" w:eastAsia="times new roman, times, serif"/>
          <w:color w:val="000000"/>
          <w:sz w:val="21"/>
        </w:rPr>
        <w:t>3.45</w:t>
      </w:r>
      <w:r>
        <w:rPr>
          <w:rFonts w:ascii="宋体" w:hAnsi="宋体" w:cs="宋体" w:eastAsia="宋体"/>
          <w:color w:val="000000"/>
          <w:sz w:val="21"/>
        </w:rPr>
        <w:t>万</w:t>
      </w:r>
      <w:r>
        <w:rPr>
          <w:rFonts w:ascii="times new roman, times, serif" w:hAnsi="times new roman, times, serif" w:cs="times new roman, times, serif" w:eastAsia="times new roman, times, serif"/>
          <w:color w:val="000000"/>
          <w:sz w:val="21"/>
        </w:rPr>
        <w:t>m³</w:t>
      </w:r>
      <w:r>
        <w:rPr>
          <w:rFonts w:ascii="宋体" w:hAnsi="宋体" w:cs="宋体" w:eastAsia="宋体"/>
          <w:color w:val="000000"/>
          <w:sz w:val="21"/>
        </w:rPr>
        <w:t>。</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2.51</w:t>
      </w:r>
    </w:p>
    <w:p>
      <w:pPr>
        <w:pStyle w:val="null3"/>
      </w:pPr>
      <w:r>
        <w:rPr/>
        <w:t>采购包最高限价（元）: 2.51</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污水处理服务费单价</w:t>
            </w:r>
          </w:p>
        </w:tc>
        <w:tc>
          <w:tcPr>
            <w:tcW w:type="dxa" w:w="831"/>
          </w:tcPr>
          <w:p>
            <w:pPr>
              <w:pStyle w:val="null3"/>
              <w:jc w:val="right"/>
            </w:pPr>
            <w:r>
              <w:rPr/>
              <w:t>1.00</w:t>
            </w:r>
          </w:p>
        </w:tc>
        <w:tc>
          <w:tcPr>
            <w:tcW w:type="dxa" w:w="831"/>
          </w:tcPr>
          <w:p>
            <w:pPr>
              <w:pStyle w:val="null3"/>
              <w:jc w:val="right"/>
            </w:pPr>
            <w:r>
              <w:rPr/>
              <w:t>2.51</w:t>
            </w:r>
          </w:p>
        </w:tc>
        <w:tc>
          <w:tcPr>
            <w:tcW w:type="dxa" w:w="831"/>
          </w:tcPr>
          <w:p>
            <w:pPr>
              <w:pStyle w:val="null3"/>
            </w:pPr>
            <w:r>
              <w:rPr/>
              <w:t>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标的名称：污水处理服务费单价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after="165"/>
            </w:pPr>
            <w:r>
              <w:rPr>
                <w:rFonts w:ascii="宋体" w:hAnsi="宋体" w:cs="宋体" w:eastAsia="宋体"/>
                <w:b/>
                <w:color w:val="000000"/>
                <w:sz w:val="21"/>
              </w:rPr>
              <w:t>一、资产经营权转让价款及资金结构</w:t>
            </w:r>
          </w:p>
          <w:p>
            <w:pPr>
              <w:pStyle w:val="null3"/>
            </w:pPr>
            <w:r>
              <w:rPr>
                <w:rFonts w:ascii="宋体" w:hAnsi="宋体" w:cs="宋体" w:eastAsia="宋体"/>
                <w:color w:val="000000"/>
                <w:sz w:val="21"/>
              </w:rPr>
              <w:t>根据《资产西安市鄠邑区水务局拟实施鄠邑区第一污水处理厂存量资产经营权</w:t>
            </w:r>
            <w:r>
              <w:rPr>
                <w:rFonts w:ascii="times new roman, times, serif" w:hAnsi="times new roman, times, serif" w:cs="times new roman, times, serif" w:eastAsia="times new roman, times, serif"/>
                <w:color w:val="000000"/>
                <w:sz w:val="21"/>
              </w:rPr>
              <w:t>TOT</w:t>
            </w:r>
            <w:r>
              <w:rPr>
                <w:rFonts w:ascii="宋体" w:hAnsi="宋体" w:cs="宋体" w:eastAsia="宋体"/>
                <w:color w:val="000000"/>
                <w:sz w:val="21"/>
              </w:rPr>
              <w:t>转让项目涉及西安市鄠邑区第一污水处理厂</w:t>
            </w:r>
            <w:r>
              <w:rPr>
                <w:rFonts w:ascii="times new roman, times, serif" w:hAnsi="times new roman, times, serif" w:cs="times new roman, times, serif" w:eastAsia="times new roman, times, serif"/>
                <w:color w:val="000000"/>
                <w:sz w:val="21"/>
              </w:rPr>
              <w:t>30</w:t>
            </w:r>
            <w:r>
              <w:rPr>
                <w:rFonts w:ascii="宋体" w:hAnsi="宋体" w:cs="宋体" w:eastAsia="宋体"/>
                <w:color w:val="000000"/>
                <w:sz w:val="21"/>
              </w:rPr>
              <w:t>年经营权价值资产评估报告》，本项目资产经营权评估值为</w:t>
            </w:r>
            <w:r>
              <w:rPr>
                <w:rFonts w:ascii="times new roman, times, serif" w:hAnsi="times new roman, times, serif" w:cs="times new roman, times, serif" w:eastAsia="times new roman, times, serif"/>
                <w:color w:val="000000"/>
                <w:sz w:val="21"/>
              </w:rPr>
              <w:t>258002400</w:t>
            </w:r>
            <w:r>
              <w:rPr>
                <w:rFonts w:ascii="宋体" w:hAnsi="宋体" w:cs="宋体" w:eastAsia="宋体"/>
                <w:color w:val="000000"/>
                <w:sz w:val="21"/>
              </w:rPr>
              <w:t>元</w:t>
            </w:r>
            <w:r>
              <w:rPr>
                <w:rFonts w:ascii="宋体" w:hAnsi="宋体" w:cs="宋体" w:eastAsia="宋体"/>
                <w:color w:val="000000"/>
                <w:sz w:val="21"/>
              </w:rPr>
              <w:t>。由于项目不涉及改扩建和新建，只有存量项目，因此项目总投资即为上述资产经营权转让价款。项目资本金为总投资的</w:t>
            </w:r>
            <w:r>
              <w:rPr>
                <w:rFonts w:ascii="times new roman, times, serif" w:hAnsi="times new roman, times, serif" w:cs="times new roman, times, serif" w:eastAsia="times new roman, times, serif"/>
                <w:color w:val="000000"/>
                <w:sz w:val="21"/>
              </w:rPr>
              <w:t>30%</w:t>
            </w:r>
            <w:r>
              <w:rPr>
                <w:rFonts w:ascii="宋体" w:hAnsi="宋体" w:cs="宋体" w:eastAsia="宋体"/>
                <w:color w:val="000000"/>
                <w:sz w:val="21"/>
              </w:rPr>
              <w:t>，债务资金为总投资的</w:t>
            </w:r>
            <w:r>
              <w:rPr>
                <w:rFonts w:ascii="times new roman, times, serif" w:hAnsi="times new roman, times, serif" w:cs="times new roman, times, serif" w:eastAsia="times new roman, times, serif"/>
                <w:color w:val="000000"/>
                <w:sz w:val="21"/>
              </w:rPr>
              <w:t>70%</w:t>
            </w:r>
            <w:r>
              <w:rPr>
                <w:rFonts w:ascii="宋体" w:hAnsi="宋体" w:cs="宋体" w:eastAsia="宋体"/>
                <w:color w:val="000000"/>
                <w:sz w:val="21"/>
              </w:rPr>
              <w:t>。</w:t>
            </w:r>
          </w:p>
        </w:tc>
      </w:tr>
      <w:tr>
        <w:tc>
          <w:tcPr>
            <w:tcW w:type="dxa" w:w="2769"/>
          </w:tcPr>
          <w:p/>
        </w:tc>
        <w:tc>
          <w:tcPr>
            <w:tcW w:type="dxa" w:w="2769"/>
          </w:tcPr>
          <w:p>
            <w:pPr>
              <w:pStyle w:val="null3"/>
            </w:pPr>
            <w:r>
              <w:rPr/>
              <w:t>2</w:t>
            </w:r>
          </w:p>
        </w:tc>
        <w:tc>
          <w:tcPr>
            <w:tcW w:type="dxa" w:w="2769"/>
          </w:tcPr>
          <w:p>
            <w:pPr>
              <w:pStyle w:val="null3"/>
              <w:spacing w:after="165"/>
            </w:pPr>
            <w:r>
              <w:rPr>
                <w:rFonts w:ascii="宋体" w:hAnsi="宋体" w:cs="宋体" w:eastAsia="宋体"/>
                <w:b/>
                <w:color w:val="000000"/>
                <w:sz w:val="21"/>
              </w:rPr>
              <w:t>二、合作模式</w:t>
            </w:r>
          </w:p>
          <w:p>
            <w:pPr>
              <w:pStyle w:val="null3"/>
            </w:pPr>
            <w:r>
              <w:rPr>
                <w:rFonts w:ascii="宋体" w:hAnsi="宋体" w:cs="宋体" w:eastAsia="宋体"/>
                <w:color w:val="000000"/>
                <w:sz w:val="21"/>
              </w:rPr>
              <w:t>由成交供应商组建项目公司，</w:t>
            </w:r>
            <w:r>
              <w:rPr>
                <w:rFonts w:ascii="宋体" w:hAnsi="宋体" w:cs="宋体" w:eastAsia="宋体"/>
                <w:color w:val="000000"/>
                <w:sz w:val="21"/>
              </w:rPr>
              <w:t>由</w:t>
            </w:r>
            <w:r>
              <w:rPr>
                <w:rFonts w:ascii="宋体" w:hAnsi="宋体" w:cs="宋体" w:eastAsia="宋体"/>
                <w:color w:val="000000"/>
                <w:sz w:val="21"/>
              </w:rPr>
              <w:t>实施机构（鄠邑区水务局，下同）与项目公司签署《鄠邑区第一污水处理厂存量资产经营权</w:t>
            </w:r>
            <w:r>
              <w:rPr>
                <w:rFonts w:ascii="&quot;times new roman&quot;" w:hAnsi="&quot;times new roman&quot;" w:cs="&quot;times new roman&quot;" w:eastAsia="&quot;times new roman&quot;"/>
                <w:color w:val="000000"/>
                <w:sz w:val="21"/>
              </w:rPr>
              <w:t>TOT</w:t>
            </w:r>
            <w:r>
              <w:rPr>
                <w:rFonts w:ascii="宋体" w:hAnsi="宋体" w:cs="宋体" w:eastAsia="宋体"/>
                <w:color w:val="000000"/>
                <w:sz w:val="21"/>
              </w:rPr>
              <w:t>转让项目特许经营协议》；实施机构与项目公司成立项目交接委员会，对项目范围内设备、设施等进行现状交接；并由项目公司负责项目的运营维护，项目特许经营期限满后，项目公司将项目全部设施无偿、完好地移交给区政府指定机构。</w:t>
            </w:r>
          </w:p>
        </w:tc>
      </w:tr>
      <w:tr>
        <w:tc>
          <w:tcPr>
            <w:tcW w:type="dxa" w:w="2769"/>
          </w:tcPr>
          <w:p/>
        </w:tc>
        <w:tc>
          <w:tcPr>
            <w:tcW w:type="dxa" w:w="2769"/>
          </w:tcPr>
          <w:p>
            <w:pPr>
              <w:pStyle w:val="null3"/>
            </w:pPr>
            <w:r>
              <w:rPr/>
              <w:t>3</w:t>
            </w:r>
          </w:p>
        </w:tc>
        <w:tc>
          <w:tcPr>
            <w:tcW w:type="dxa" w:w="2769"/>
          </w:tcPr>
          <w:p>
            <w:pPr>
              <w:pStyle w:val="null3"/>
              <w:spacing w:after="165"/>
              <w:jc w:val="both"/>
            </w:pPr>
            <w:r>
              <w:rPr>
                <w:rFonts w:ascii="宋体" w:hAnsi="宋体" w:cs="宋体" w:eastAsia="宋体"/>
                <w:b/>
                <w:color w:val="000000"/>
                <w:sz w:val="21"/>
              </w:rPr>
              <w:t>三、项目产权归属及资产的处置限制</w:t>
            </w:r>
          </w:p>
          <w:p>
            <w:pPr>
              <w:pStyle w:val="null3"/>
              <w:jc w:val="left"/>
            </w:pPr>
            <w:r>
              <w:rPr>
                <w:rFonts w:ascii="宋体" w:hAnsi="宋体" w:cs="宋体" w:eastAsia="宋体"/>
                <w:color w:val="000000"/>
                <w:sz w:val="21"/>
              </w:rPr>
              <w:t>在特许经营期内，本项目的资产所有权归政府方所有（西安鄠邑建设集团有限公司）。项目公司有本项目建构筑物和设施设备的使用权、收益权、经营权。未经实施机构书面同意并获得有相应审批权的审批机构的批准，项目公司不得有以下行为：包括但不限于以转让、出租、质押、抵押、分包、委托等各类方式处置特许经营权和资产相关权益。</w:t>
            </w:r>
          </w:p>
        </w:tc>
      </w:tr>
      <w:tr>
        <w:tc>
          <w:tcPr>
            <w:tcW w:type="dxa" w:w="2769"/>
          </w:tcPr>
          <w:p/>
        </w:tc>
        <w:tc>
          <w:tcPr>
            <w:tcW w:type="dxa" w:w="2769"/>
          </w:tcPr>
          <w:p>
            <w:pPr>
              <w:pStyle w:val="null3"/>
            </w:pPr>
            <w:r>
              <w:rPr/>
              <w:t>4</w:t>
            </w:r>
          </w:p>
        </w:tc>
        <w:tc>
          <w:tcPr>
            <w:tcW w:type="dxa" w:w="2769"/>
          </w:tcPr>
          <w:p>
            <w:pPr>
              <w:pStyle w:val="null3"/>
              <w:spacing w:after="165"/>
              <w:jc w:val="both"/>
            </w:pPr>
            <w:r>
              <w:rPr>
                <w:rFonts w:ascii="宋体" w:hAnsi="宋体" w:cs="宋体" w:eastAsia="宋体"/>
                <w:b/>
                <w:color w:val="000000"/>
                <w:sz w:val="21"/>
              </w:rPr>
              <w:t>四、土地使用权</w:t>
            </w:r>
          </w:p>
          <w:p>
            <w:pPr>
              <w:pStyle w:val="null3"/>
              <w:jc w:val="left"/>
            </w:pPr>
            <w:r>
              <w:rPr>
                <w:rFonts w:ascii="宋体" w:hAnsi="宋体" w:cs="宋体" w:eastAsia="宋体"/>
                <w:color w:val="000000"/>
                <w:sz w:val="21"/>
              </w:rPr>
              <w:t>本项目所涉土地使用权归政府方所有（西安鄠邑建设集团有限公司），特许经营期内供项目公司无偿使用，实施机构及西安鄠邑建设集团有限公司承诺该宗土地不存在产权纠纷，且不设有质押、抵押等行为。项目公司不得擅自转让、出租、抵押土地使用权或者改变土地用途，也不得用于本项目之外的其他目的。特许经营期内，项目土地的保护、维护责任由项目公司承担，项目公司在项目运营维护的过程中不得有污染项目土地等行为。</w:t>
            </w:r>
          </w:p>
        </w:tc>
      </w:tr>
      <w:tr>
        <w:tc>
          <w:tcPr>
            <w:tcW w:type="dxa" w:w="2769"/>
          </w:tcPr>
          <w:p>
            <w:pPr>
              <w:pStyle w:val="null3"/>
            </w:pPr>
            <w:r>
              <w:rPr/>
              <w:t>★</w:t>
            </w:r>
          </w:p>
        </w:tc>
        <w:tc>
          <w:tcPr>
            <w:tcW w:type="dxa" w:w="2769"/>
          </w:tcPr>
          <w:p>
            <w:pPr>
              <w:pStyle w:val="null3"/>
            </w:pPr>
            <w:r>
              <w:rPr/>
              <w:t>5</w:t>
            </w:r>
          </w:p>
        </w:tc>
        <w:tc>
          <w:tcPr>
            <w:tcW w:type="dxa" w:w="2769"/>
          </w:tcPr>
          <w:p>
            <w:pPr>
              <w:pStyle w:val="null3"/>
              <w:spacing w:after="165"/>
              <w:jc w:val="both"/>
            </w:pPr>
            <w:r>
              <w:rPr>
                <w:rFonts w:ascii="宋体" w:hAnsi="宋体" w:cs="宋体" w:eastAsia="宋体"/>
                <w:b/>
                <w:color w:val="000000"/>
                <w:sz w:val="21"/>
              </w:rPr>
              <w:t>五、运营内容及要求</w:t>
            </w:r>
          </w:p>
          <w:p>
            <w:pPr>
              <w:pStyle w:val="null3"/>
              <w:spacing w:after="165"/>
              <w:jc w:val="both"/>
            </w:pPr>
            <w:r>
              <w:rPr>
                <w:rFonts w:ascii="宋体" w:hAnsi="宋体" w:cs="宋体" w:eastAsia="宋体"/>
                <w:color w:val="000000"/>
                <w:sz w:val="21"/>
              </w:rPr>
              <w:t>本项目的运营内容主要包括：在项目运营期内，对本项目涉及的所有建（构）筑物、设备设施和配套工程的运行使用、维护修理等，完成鄠邑区第一污水处理厂的生产任务。</w:t>
            </w:r>
          </w:p>
          <w:p>
            <w:pPr>
              <w:pStyle w:val="null3"/>
              <w:spacing w:after="165"/>
              <w:jc w:val="both"/>
            </w:pPr>
            <w:r>
              <w:rPr>
                <w:rFonts w:ascii="times new roman, times, serif" w:hAnsi="times new roman, times, serif" w:cs="times new roman, times, serif" w:eastAsia="times new roman, times, serif"/>
                <w:b/>
                <w:color w:val="000000"/>
                <w:sz w:val="21"/>
              </w:rPr>
              <w:t>1</w:t>
            </w:r>
            <w:r>
              <w:rPr>
                <w:rFonts w:ascii="宋体" w:hAnsi="宋体" w:cs="宋体" w:eastAsia="宋体"/>
                <w:b/>
                <w:color w:val="000000"/>
                <w:sz w:val="21"/>
              </w:rPr>
              <w:t>、运营的基本原则</w:t>
            </w:r>
          </w:p>
          <w:p>
            <w:pPr>
              <w:pStyle w:val="null3"/>
              <w:spacing w:after="165"/>
              <w:jc w:val="both"/>
            </w:pPr>
            <w:r>
              <w:rPr>
                <w:rFonts w:ascii="宋体" w:hAnsi="宋体" w:cs="宋体" w:eastAsia="宋体"/>
                <w:color w:val="000000"/>
                <w:sz w:val="21"/>
              </w:rPr>
              <w:t>在整个运营期内，项目公司负责管理、运营和维护污水处理设施设备，并自行承担项目运营费用（包括税费，污泥处置费用除外）和项目运营风险。项目公司确保在整个运营期内，始终根据下列规定运行污水处理厂：</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）国家和地方现行的公司管理的有关法律法规，污水处理的有关法律法规、标准和规范，本项目有关批准文件的要求；</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）服从社会公共利益，履行对社会公益性事业所应尽的义务和服务。服从相关管理部门的行业管理，自觉接受相关执法部门的监督检查；</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）项目实施方案表述的质量保证、质量控制和安全生产的要求；</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w:t>
            </w:r>
            <w:r>
              <w:rPr>
                <w:rFonts w:ascii="宋体" w:hAnsi="宋体" w:cs="宋体" w:eastAsia="宋体"/>
                <w:color w:val="000000"/>
                <w:sz w:val="21"/>
              </w:rPr>
              <w:t>）运营维护手册以及污水处理项目内设备制造商提供的说明手册和指导；</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5</w:t>
            </w:r>
            <w:r>
              <w:rPr>
                <w:rFonts w:ascii="宋体" w:hAnsi="宋体" w:cs="宋体" w:eastAsia="宋体"/>
                <w:color w:val="000000"/>
                <w:sz w:val="21"/>
              </w:rPr>
              <w:t>）确保污水处理项目设施始终处于良好营运状态并能够安全稳定地处理污水并使其达到设计排放标准，污泥、大气污染物和噪声满足相关环保要求和设计排放标准。</w:t>
            </w:r>
          </w:p>
          <w:p>
            <w:pPr>
              <w:pStyle w:val="null3"/>
              <w:spacing w:after="165"/>
              <w:jc w:val="both"/>
            </w:pPr>
            <w:r>
              <w:rPr>
                <w:rFonts w:ascii="times new roman, times, serif" w:hAnsi="times new roman, times, serif" w:cs="times new roman, times, serif" w:eastAsia="times new roman, times, serif"/>
                <w:b/>
                <w:color w:val="000000"/>
                <w:sz w:val="21"/>
              </w:rPr>
              <w:t>2</w:t>
            </w:r>
            <w:r>
              <w:rPr>
                <w:rFonts w:ascii="宋体" w:hAnsi="宋体" w:cs="宋体" w:eastAsia="宋体"/>
                <w:b/>
                <w:color w:val="000000"/>
                <w:sz w:val="21"/>
              </w:rPr>
              <w:t>、污水处理服务范围</w:t>
            </w:r>
          </w:p>
          <w:p>
            <w:pPr>
              <w:pStyle w:val="null3"/>
              <w:spacing w:after="165"/>
              <w:jc w:val="both"/>
            </w:pPr>
            <w:r>
              <w:rPr>
                <w:rFonts w:ascii="宋体" w:hAnsi="宋体" w:cs="宋体" w:eastAsia="宋体"/>
                <w:color w:val="000000"/>
                <w:sz w:val="21"/>
              </w:rPr>
              <w:t>在特许经营期内，项目公司负责本项目范围内所有设施的运营，处理区水务局通过管网调度提供的污水，并将处理后的污水排至交付点。未经区水务局事先书面同意，项目公司不得自行处理非区水务局管网调度提供的污水。</w:t>
            </w:r>
          </w:p>
          <w:p>
            <w:pPr>
              <w:pStyle w:val="null3"/>
              <w:spacing w:after="165"/>
              <w:jc w:val="both"/>
            </w:pPr>
            <w:r>
              <w:rPr>
                <w:rFonts w:ascii="times new roman, times, serif" w:hAnsi="times new roman, times, serif" w:cs="times new roman, times, serif" w:eastAsia="times new roman, times, serif"/>
                <w:b/>
                <w:color w:val="000000"/>
                <w:sz w:val="21"/>
              </w:rPr>
              <w:t>3</w:t>
            </w:r>
            <w:r>
              <w:rPr>
                <w:rFonts w:ascii="宋体" w:hAnsi="宋体" w:cs="宋体" w:eastAsia="宋体"/>
                <w:b/>
                <w:color w:val="000000"/>
                <w:sz w:val="21"/>
              </w:rPr>
              <w:t>、</w:t>
            </w:r>
            <w:r>
              <w:rPr>
                <w:rFonts w:ascii="宋体" w:hAnsi="宋体" w:cs="宋体" w:eastAsia="宋体"/>
                <w:b/>
                <w:color w:val="000000"/>
                <w:sz w:val="21"/>
              </w:rPr>
              <w:t>运营技术要求和服务标准</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）进水水质</w:t>
            </w:r>
            <w:r>
              <w:rPr>
                <w:rFonts w:ascii="宋体" w:hAnsi="宋体" w:cs="宋体" w:eastAsia="宋体"/>
                <w:color w:val="000000"/>
                <w:sz w:val="21"/>
              </w:rPr>
              <w:t>主要指标</w:t>
            </w:r>
          </w:p>
          <w:p>
            <w:pPr>
              <w:pStyle w:val="null3"/>
              <w:spacing w:after="165"/>
              <w:jc w:val="both"/>
            </w:pPr>
            <w:r>
              <w:rPr>
                <w:rFonts w:ascii="宋体" w:hAnsi="宋体" w:cs="宋体" w:eastAsia="宋体"/>
                <w:color w:val="000000"/>
                <w:sz w:val="21"/>
              </w:rPr>
              <w:t>本项目设计进水水质</w:t>
            </w:r>
            <w:r>
              <w:rPr>
                <w:rFonts w:ascii="宋体" w:hAnsi="宋体" w:cs="宋体" w:eastAsia="宋体"/>
                <w:color w:val="000000"/>
                <w:sz w:val="21"/>
              </w:rPr>
              <w:t>主要</w:t>
            </w:r>
            <w:r>
              <w:rPr>
                <w:rFonts w:ascii="宋体" w:hAnsi="宋体" w:cs="宋体" w:eastAsia="宋体"/>
                <w:color w:val="000000"/>
                <w:sz w:val="21"/>
              </w:rPr>
              <w:t>指标如下表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所示：</w:t>
            </w:r>
          </w:p>
          <w:p>
            <w:pPr>
              <w:pStyle w:val="null3"/>
              <w:spacing w:after="165"/>
              <w:jc w:val="center"/>
            </w:pPr>
            <w:r>
              <w:rPr>
                <w:rFonts w:ascii="宋体" w:hAnsi="宋体" w:cs="宋体" w:eastAsia="宋体"/>
                <w:color w:val="000000"/>
                <w:sz w:val="21"/>
              </w:rPr>
              <w:t>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进水水质主要指标</w:t>
            </w:r>
          </w:p>
          <w:tbl>
            <w:tblPr>
              <w:tblBorders>
                <w:top w:val="none" w:color="000000" w:sz="4"/>
                <w:left w:val="none" w:color="000000" w:sz="4"/>
                <w:bottom w:val="none" w:color="000000" w:sz="4"/>
                <w:right w:val="none" w:color="000000" w:sz="4"/>
                <w:insideH w:val="none"/>
                <w:insideV w:val="none"/>
              </w:tblBorders>
            </w:tblPr>
            <w:tblGrid>
              <w:gridCol w:w="313"/>
              <w:gridCol w:w="360"/>
              <w:gridCol w:w="313"/>
              <w:gridCol w:w="313"/>
              <w:gridCol w:w="313"/>
              <w:gridCol w:w="313"/>
              <w:gridCol w:w="313"/>
              <w:gridCol w:w="313"/>
            </w:tblGrid>
            <w:tr>
              <w:tc>
                <w:tcPr>
                  <w:tcW w:type="dxa" w:w="313"/>
                  <w:tcBorders>
                    <w:top w:val="single" w:color="000000" w:sz="4"/>
                    <w:left w:val="singl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水质</w:t>
                  </w:r>
                </w:p>
                <w:p>
                  <w:pPr>
                    <w:pStyle w:val="null3"/>
                    <w:spacing w:after="165" w:lineRule="auto" w:line="274"/>
                    <w:jc w:val="center"/>
                  </w:pPr>
                  <w:r>
                    <w:rPr>
                      <w:rFonts w:ascii="宋体" w:hAnsi="宋体" w:cs="宋体" w:eastAsia="宋体"/>
                      <w:color w:val="000000"/>
                      <w:sz w:val="21"/>
                    </w:rPr>
                    <w:t>指标</w:t>
                  </w:r>
                </w:p>
              </w:tc>
              <w:tc>
                <w:tcPr>
                  <w:tcW w:type="dxa" w:w="360"/>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COD</w:t>
                  </w:r>
                </w:p>
                <w:p>
                  <w:pPr>
                    <w:pStyle w:val="null3"/>
                    <w:spacing w:after="165" w:lineRule="auto" w:line="274"/>
                    <w:jc w:val="center"/>
                  </w:pPr>
                  <w:r>
                    <w:rPr>
                      <w:rFonts w:ascii="times new roman, times, serif" w:hAnsi="times new roman, times, serif" w:cs="times new roman, times, serif" w:eastAsia="times new roman, times, serif"/>
                      <w:color w:val="000000"/>
                      <w:sz w:val="21"/>
                    </w:rPr>
                    <w:t>(mg/L)</w:t>
                  </w:r>
                </w:p>
              </w:tc>
              <w:tc>
                <w:tcPr>
                  <w:tcW w:type="dxa" w:w="313"/>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BOD</w:t>
                  </w:r>
                  <w:r>
                    <w:rPr>
                      <w:rFonts w:ascii="times new roman, times, serif" w:hAnsi="times new roman, times, serif" w:cs="times new roman, times, serif" w:eastAsia="times new roman, times, serif"/>
                      <w:color w:val="000000"/>
                      <w:sz w:val="21"/>
                      <w:vertAlign w:val="subscript"/>
                    </w:rPr>
                    <w:t>5</w:t>
                  </w:r>
                </w:p>
                <w:p>
                  <w:pPr>
                    <w:pStyle w:val="null3"/>
                    <w:spacing w:after="165" w:lineRule="auto" w:line="274"/>
                    <w:jc w:val="center"/>
                  </w:pPr>
                  <w:r>
                    <w:rPr>
                      <w:rFonts w:ascii="times new roman, times, serif" w:hAnsi="times new roman, times, serif" w:cs="times new roman, times, serif" w:eastAsia="times new roman, times, serif"/>
                      <w:color w:val="000000"/>
                      <w:sz w:val="21"/>
                    </w:rPr>
                    <w:t>(mg/L)</w:t>
                  </w:r>
                </w:p>
              </w:tc>
              <w:tc>
                <w:tcPr>
                  <w:tcW w:type="dxa" w:w="313"/>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SS</w:t>
                  </w:r>
                  <w:r>
                    <w:br/>
                  </w:r>
                  <w:r>
                    <w:rPr>
                      <w:rFonts w:ascii="times new roman, times, serif" w:hAnsi="times new roman, times, serif" w:cs="times new roman, times, serif" w:eastAsia="times new roman, times, serif"/>
                      <w:color w:val="000000"/>
                      <w:sz w:val="21"/>
                    </w:rPr>
                    <w:t>(mg/L)</w:t>
                  </w:r>
                </w:p>
              </w:tc>
              <w:tc>
                <w:tcPr>
                  <w:tcW w:type="dxa" w:w="313"/>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NH</w:t>
                  </w:r>
                  <w:r>
                    <w:rPr>
                      <w:rFonts w:ascii="times new roman, times, serif" w:hAnsi="times new roman, times, serif" w:cs="times new roman, times, serif" w:eastAsia="times new roman, times, serif"/>
                      <w:color w:val="000000"/>
                      <w:sz w:val="21"/>
                      <w:vertAlign w:val="subscript"/>
                    </w:rPr>
                    <w:t>3</w:t>
                  </w:r>
                  <w:r>
                    <w:rPr>
                      <w:rFonts w:ascii="times new roman, times, serif" w:hAnsi="times new roman, times, serif" w:cs="times new roman, times, serif" w:eastAsia="times new roman, times, serif"/>
                      <w:color w:val="000000"/>
                      <w:sz w:val="21"/>
                    </w:rPr>
                    <w:t>-N</w:t>
                  </w:r>
                  <w:r>
                    <w:br/>
                  </w:r>
                  <w:r>
                    <w:rPr>
                      <w:rFonts w:ascii="times new roman, times, serif" w:hAnsi="times new roman, times, serif" w:cs="times new roman, times, serif" w:eastAsia="times new roman, times, serif"/>
                      <w:color w:val="000000"/>
                      <w:sz w:val="21"/>
                    </w:rPr>
                    <w:t>(mg/L)</w:t>
                  </w:r>
                </w:p>
              </w:tc>
              <w:tc>
                <w:tcPr>
                  <w:tcW w:type="dxa" w:w="313"/>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TN</w:t>
                  </w:r>
                  <w:r>
                    <w:br/>
                  </w:r>
                  <w:r>
                    <w:rPr>
                      <w:rFonts w:ascii="times new roman, times, serif" w:hAnsi="times new roman, times, serif" w:cs="times new roman, times, serif" w:eastAsia="times new roman, times, serif"/>
                      <w:color w:val="000000"/>
                      <w:sz w:val="21"/>
                    </w:rPr>
                    <w:t>(mg/L)</w:t>
                  </w:r>
                </w:p>
              </w:tc>
              <w:tc>
                <w:tcPr>
                  <w:tcW w:type="dxa" w:w="313"/>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TP</w:t>
                  </w:r>
                  <w:r>
                    <w:br/>
                  </w:r>
                  <w:r>
                    <w:rPr>
                      <w:rFonts w:ascii="times new roman, times, serif" w:hAnsi="times new roman, times, serif" w:cs="times new roman, times, serif" w:eastAsia="times new roman, times, serif"/>
                      <w:color w:val="000000"/>
                      <w:sz w:val="21"/>
                    </w:rPr>
                    <w:t>(mg/L)</w:t>
                  </w:r>
                </w:p>
              </w:tc>
              <w:tc>
                <w:tcPr>
                  <w:tcW w:type="dxa" w:w="313"/>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pH</w:t>
                  </w:r>
                </w:p>
              </w:tc>
            </w:tr>
            <w:tr>
              <w:tc>
                <w:tcPr>
                  <w:tcW w:type="dxa" w:w="3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进水</w:t>
                  </w:r>
                </w:p>
                <w:p>
                  <w:pPr>
                    <w:pStyle w:val="null3"/>
                    <w:spacing w:after="165" w:lineRule="auto" w:line="274"/>
                    <w:jc w:val="center"/>
                  </w:pPr>
                  <w:r>
                    <w:rPr>
                      <w:rFonts w:ascii="宋体" w:hAnsi="宋体" w:cs="宋体" w:eastAsia="宋体"/>
                      <w:color w:val="000000"/>
                      <w:sz w:val="21"/>
                    </w:rPr>
                    <w:t>标准</w:t>
                  </w:r>
                </w:p>
              </w:tc>
              <w:tc>
                <w:tcPr>
                  <w:tcW w:type="dxa" w:w="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400</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170</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300</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35</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40</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w:t>
                  </w:r>
                </w:p>
              </w:tc>
              <w:tc>
                <w:tcPr>
                  <w:tcW w:type="dxa" w:w="3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6-9</w:t>
                  </w:r>
                </w:p>
              </w:tc>
            </w:tr>
          </w:tbl>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）出水水质</w:t>
            </w:r>
            <w:r>
              <w:rPr>
                <w:rFonts w:ascii="宋体" w:hAnsi="宋体" w:cs="宋体" w:eastAsia="宋体"/>
                <w:color w:val="000000"/>
                <w:sz w:val="21"/>
              </w:rPr>
              <w:t>主要指标要求</w:t>
            </w:r>
          </w:p>
          <w:p>
            <w:pPr>
              <w:pStyle w:val="null3"/>
              <w:spacing w:after="165"/>
              <w:jc w:val="both"/>
            </w:pPr>
            <w:r>
              <w:rPr>
                <w:rFonts w:ascii="宋体" w:hAnsi="宋体" w:cs="宋体" w:eastAsia="宋体"/>
                <w:color w:val="000000"/>
                <w:sz w:val="21"/>
              </w:rPr>
              <w:t>本项目出水水质</w:t>
            </w:r>
            <w:r>
              <w:rPr>
                <w:rFonts w:ascii="宋体" w:hAnsi="宋体" w:cs="宋体" w:eastAsia="宋体"/>
                <w:color w:val="000000"/>
                <w:sz w:val="21"/>
              </w:rPr>
              <w:t>指标</w:t>
            </w:r>
            <w:r>
              <w:rPr>
                <w:rFonts w:ascii="宋体" w:hAnsi="宋体" w:cs="宋体" w:eastAsia="宋体"/>
                <w:color w:val="000000"/>
                <w:sz w:val="21"/>
              </w:rPr>
              <w:t>（总氮指标除外）执行《陕西省黄河流域污水综合排放标准》（</w:t>
            </w:r>
            <w:r>
              <w:rPr>
                <w:rFonts w:ascii="times new roman, times, serif" w:hAnsi="times new roman, times, serif" w:cs="times new roman, times, serif" w:eastAsia="times new roman, times, serif"/>
                <w:color w:val="000000"/>
                <w:sz w:val="21"/>
              </w:rPr>
              <w:t>DB61/224-2018</w:t>
            </w:r>
            <w:r>
              <w:rPr>
                <w:rFonts w:ascii="宋体" w:hAnsi="宋体" w:cs="宋体" w:eastAsia="宋体"/>
                <w:color w:val="000000"/>
                <w:sz w:val="21"/>
              </w:rPr>
              <w:t>）中</w:t>
            </w:r>
            <w:r>
              <w:rPr>
                <w:rFonts w:ascii="times new roman, times, serif" w:hAnsi="times new roman, times, serif" w:cs="times new roman, times, serif" w:eastAsia="times new roman, times, serif"/>
                <w:color w:val="000000"/>
                <w:sz w:val="21"/>
              </w:rPr>
              <w:t>A</w:t>
            </w:r>
            <w:r>
              <w:rPr>
                <w:rFonts w:ascii="宋体" w:hAnsi="宋体" w:cs="宋体" w:eastAsia="宋体"/>
                <w:color w:val="000000"/>
                <w:sz w:val="21"/>
              </w:rPr>
              <w:t>标准，总氮指标根据《西安市城镇污水处理厂再生水化提标改造和加盖除臭工程三年行动方案（</w:t>
            </w:r>
            <w:r>
              <w:rPr>
                <w:rFonts w:ascii="times new roman, times, serif" w:hAnsi="times new roman, times, serif" w:cs="times new roman, times, serif" w:eastAsia="times new roman, times, serif"/>
                <w:color w:val="000000"/>
                <w:sz w:val="21"/>
              </w:rPr>
              <w:t>2018-2020</w:t>
            </w:r>
            <w:r>
              <w:rPr>
                <w:rFonts w:ascii="宋体" w:hAnsi="宋体" w:cs="宋体" w:eastAsia="宋体"/>
                <w:color w:val="000000"/>
                <w:sz w:val="21"/>
              </w:rPr>
              <w:t>年）》（市政办发</w:t>
            </w:r>
            <w:r>
              <w:rPr>
                <w:rFonts w:ascii="times new roman, times, serif" w:hAnsi="times new roman, times, serif" w:cs="times new roman, times, serif" w:eastAsia="times new roman, times, serif"/>
                <w:color w:val="000000"/>
                <w:sz w:val="21"/>
              </w:rPr>
              <w:t>[2018]100</w:t>
            </w:r>
            <w:r>
              <w:rPr>
                <w:rFonts w:ascii="宋体" w:hAnsi="宋体" w:cs="宋体" w:eastAsia="宋体"/>
                <w:color w:val="000000"/>
                <w:sz w:val="21"/>
              </w:rPr>
              <w:t>号）要求执行</w:t>
            </w:r>
            <w:r>
              <w:rPr>
                <w:rFonts w:ascii="times new roman, times, serif" w:hAnsi="times new roman, times, serif" w:cs="times new roman, times, serif" w:eastAsia="times new roman, times, serif"/>
                <w:color w:val="000000"/>
                <w:sz w:val="21"/>
              </w:rPr>
              <w:t>12mg/L</w:t>
            </w:r>
            <w:r>
              <w:rPr>
                <w:rFonts w:ascii="宋体" w:hAnsi="宋体" w:cs="宋体" w:eastAsia="宋体"/>
                <w:color w:val="000000"/>
                <w:sz w:val="21"/>
              </w:rPr>
              <w:t>标准，设计出水水质主要指标详见表</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w:t>
            </w:r>
          </w:p>
          <w:p>
            <w:pPr>
              <w:pStyle w:val="null3"/>
              <w:spacing w:after="165"/>
              <w:jc w:val="center"/>
            </w:pPr>
            <w:r>
              <w:rPr>
                <w:rFonts w:ascii="宋体" w:hAnsi="宋体" w:cs="宋体" w:eastAsia="宋体"/>
                <w:color w:val="000000"/>
                <w:sz w:val="21"/>
              </w:rPr>
              <w:t>表</w:t>
            </w:r>
            <w:r>
              <w:rPr>
                <w:rFonts w:ascii="times new roman, times, serif" w:hAnsi="times new roman, times, serif" w:cs="times new roman, times, serif" w:eastAsia="times new roman, times, serif"/>
                <w:color w:val="000000"/>
                <w:sz w:val="21"/>
              </w:rPr>
              <w:t xml:space="preserve">2 </w:t>
            </w:r>
            <w:r>
              <w:rPr>
                <w:rFonts w:ascii="宋体" w:hAnsi="宋体" w:cs="宋体" w:eastAsia="宋体"/>
                <w:color w:val="000000"/>
                <w:sz w:val="21"/>
              </w:rPr>
              <w:t>出水水质主要指标表</w:t>
            </w:r>
          </w:p>
          <w:tbl>
            <w:tblPr>
              <w:tblBorders>
                <w:top w:val="none" w:color="000000" w:sz="4"/>
                <w:left w:val="none" w:color="000000" w:sz="4"/>
                <w:bottom w:val="none" w:color="000000" w:sz="4"/>
                <w:right w:val="none" w:color="000000" w:sz="4"/>
                <w:insideH w:val="none"/>
                <w:insideV w:val="none"/>
              </w:tblBorders>
            </w:tblPr>
            <w:tblGrid>
              <w:gridCol w:w="288"/>
              <w:gridCol w:w="344"/>
              <w:gridCol w:w="350"/>
              <w:gridCol w:w="344"/>
              <w:gridCol w:w="362"/>
              <w:gridCol w:w="288"/>
              <w:gridCol w:w="288"/>
              <w:gridCol w:w="288"/>
            </w:tblGrid>
            <w:tr>
              <w:tc>
                <w:tcPr>
                  <w:tcW w:type="dxa" w:w="28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水质</w:t>
                  </w:r>
                </w:p>
                <w:p>
                  <w:pPr>
                    <w:pStyle w:val="null3"/>
                    <w:spacing w:after="165" w:lineRule="auto" w:line="274"/>
                    <w:jc w:val="center"/>
                  </w:pPr>
                  <w:r>
                    <w:rPr>
                      <w:rFonts w:ascii="宋体" w:hAnsi="宋体" w:cs="宋体" w:eastAsia="宋体"/>
                      <w:color w:val="000000"/>
                      <w:sz w:val="21"/>
                    </w:rPr>
                    <w:t>指标</w:t>
                  </w:r>
                </w:p>
              </w:tc>
              <w:tc>
                <w:tcPr>
                  <w:tcW w:type="dxa" w:w="34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COD</w:t>
                  </w:r>
                </w:p>
                <w:p>
                  <w:pPr>
                    <w:pStyle w:val="null3"/>
                    <w:spacing w:after="165" w:lineRule="auto" w:line="274"/>
                    <w:jc w:val="center"/>
                  </w:pPr>
                  <w:r>
                    <w:rPr>
                      <w:rFonts w:ascii="times new roman, times, serif" w:hAnsi="times new roman, times, serif" w:cs="times new roman, times, serif" w:eastAsia="times new roman, times, serif"/>
                      <w:color w:val="000000"/>
                      <w:sz w:val="21"/>
                    </w:rPr>
                    <w:t>(mg/L)</w:t>
                  </w:r>
                </w:p>
              </w:tc>
              <w:tc>
                <w:tcPr>
                  <w:tcW w:type="dxa" w:w="3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BOD</w:t>
                  </w:r>
                  <w:r>
                    <w:rPr>
                      <w:rFonts w:ascii="times new roman, times, serif" w:hAnsi="times new roman, times, serif" w:cs="times new roman, times, serif" w:eastAsia="times new roman, times, serif"/>
                      <w:color w:val="000000"/>
                      <w:sz w:val="21"/>
                      <w:vertAlign w:val="subscript"/>
                    </w:rPr>
                    <w:t>5</w:t>
                  </w:r>
                </w:p>
                <w:p>
                  <w:pPr>
                    <w:pStyle w:val="null3"/>
                    <w:spacing w:after="165" w:lineRule="auto" w:line="274"/>
                    <w:jc w:val="center"/>
                  </w:pPr>
                  <w:r>
                    <w:rPr>
                      <w:rFonts w:ascii="times new roman, times, serif" w:hAnsi="times new roman, times, serif" w:cs="times new roman, times, serif" w:eastAsia="times new roman, times, serif"/>
                      <w:color w:val="000000"/>
                      <w:sz w:val="21"/>
                    </w:rPr>
                    <w:t>(mg/L)</w:t>
                  </w:r>
                </w:p>
              </w:tc>
              <w:tc>
                <w:tcPr>
                  <w:tcW w:type="dxa" w:w="34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SS</w:t>
                  </w:r>
                  <w:r>
                    <w:br/>
                  </w:r>
                  <w:r>
                    <w:rPr>
                      <w:rFonts w:ascii="times new roman, times, serif" w:hAnsi="times new roman, times, serif" w:cs="times new roman, times, serif" w:eastAsia="times new roman, times, serif"/>
                      <w:color w:val="000000"/>
                      <w:sz w:val="21"/>
                    </w:rPr>
                    <w:t>(mg/L)</w:t>
                  </w:r>
                </w:p>
              </w:tc>
              <w:tc>
                <w:tcPr>
                  <w:tcW w:type="dxa" w:w="36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NH</w:t>
                  </w:r>
                  <w:r>
                    <w:rPr>
                      <w:rFonts w:ascii="times new roman, times, serif" w:hAnsi="times new roman, times, serif" w:cs="times new roman, times, serif" w:eastAsia="times new roman, times, serif"/>
                      <w:color w:val="000000"/>
                      <w:sz w:val="21"/>
                      <w:vertAlign w:val="subscript"/>
                    </w:rPr>
                    <w:t>3</w:t>
                  </w:r>
                  <w:r>
                    <w:rPr>
                      <w:rFonts w:ascii="times new roman, times, serif" w:hAnsi="times new roman, times, serif" w:cs="times new roman, times, serif" w:eastAsia="times new roman, times, serif"/>
                      <w:color w:val="000000"/>
                      <w:sz w:val="21"/>
                    </w:rPr>
                    <w:t>-N</w:t>
                  </w:r>
                  <w:r>
                    <w:br/>
                  </w:r>
                  <w:r>
                    <w:rPr>
                      <w:rFonts w:ascii="times new roman, times, serif" w:hAnsi="times new roman, times, serif" w:cs="times new roman, times, serif" w:eastAsia="times new roman, times, serif"/>
                      <w:color w:val="000000"/>
                      <w:sz w:val="21"/>
                    </w:rPr>
                    <w:t>(mg/L)</w:t>
                  </w:r>
                </w:p>
              </w:tc>
              <w:tc>
                <w:tcPr>
                  <w:tcW w:type="dxa" w:w="28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TN</w:t>
                  </w:r>
                </w:p>
                <w:p>
                  <w:pPr>
                    <w:pStyle w:val="null3"/>
                    <w:spacing w:after="165" w:lineRule="auto" w:line="274"/>
                    <w:jc w:val="center"/>
                  </w:pPr>
                  <w:r>
                    <w:rPr>
                      <w:rFonts w:ascii="times new roman, times, serif" w:hAnsi="times new roman, times, serif" w:cs="times new roman, times, serif" w:eastAsia="times new roman, times, serif"/>
                      <w:color w:val="000000"/>
                      <w:sz w:val="21"/>
                    </w:rPr>
                    <w:t>(mg/L)</w:t>
                  </w:r>
                </w:p>
              </w:tc>
              <w:tc>
                <w:tcPr>
                  <w:tcW w:type="dxa" w:w="28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TP</w:t>
                  </w:r>
                </w:p>
                <w:p>
                  <w:pPr>
                    <w:pStyle w:val="null3"/>
                    <w:spacing w:after="165" w:lineRule="auto" w:line="274"/>
                    <w:jc w:val="center"/>
                  </w:pPr>
                  <w:r>
                    <w:rPr>
                      <w:rFonts w:ascii="times new roman, times, serif" w:hAnsi="times new roman, times, serif" w:cs="times new roman, times, serif" w:eastAsia="times new roman, times, serif"/>
                      <w:color w:val="000000"/>
                      <w:sz w:val="21"/>
                    </w:rPr>
                    <w:t>(mg/L)</w:t>
                  </w:r>
                </w:p>
              </w:tc>
              <w:tc>
                <w:tcPr>
                  <w:tcW w:type="dxa" w:w="28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pH</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出水标准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30</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1.5</w:t>
                  </w:r>
                </w:p>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0.3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lineRule="auto" w:line="274"/>
                    <w:jc w:val="center"/>
                  </w:pPr>
                  <w:r>
                    <w:rPr>
                      <w:rFonts w:ascii="times new roman, times, serif" w:hAnsi="times new roman, times, serif" w:cs="times new roman, times, serif" w:eastAsia="times new roman, times, serif"/>
                      <w:color w:val="000000"/>
                      <w:sz w:val="21"/>
                    </w:rPr>
                    <w:t>6-9</w:t>
                  </w:r>
                </w:p>
              </w:tc>
            </w:tr>
          </w:tbl>
          <w:p>
            <w:pPr>
              <w:pStyle w:val="null3"/>
              <w:spacing w:after="165"/>
              <w:jc w:val="both"/>
            </w:pPr>
            <w:r>
              <w:rPr>
                <w:rFonts w:ascii="宋体" w:hAnsi="宋体" w:cs="宋体" w:eastAsia="宋体"/>
                <w:color w:val="000000"/>
                <w:sz w:val="21"/>
              </w:rPr>
              <w:t>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括号外数值为水温</w:t>
            </w:r>
            <w:r>
              <w:rPr>
                <w:rFonts w:ascii="times new roman, times, serif" w:hAnsi="times new roman, times, serif" w:cs="times new roman, times, serif" w:eastAsia="times new roman, times, serif"/>
                <w:color w:val="000000"/>
                <w:sz w:val="21"/>
              </w:rPr>
              <w:t>&gt;12</w:t>
            </w:r>
            <w:r>
              <w:rPr>
                <w:rFonts w:ascii="宋体" w:hAnsi="宋体" w:cs="宋体" w:eastAsia="宋体"/>
                <w:color w:val="000000"/>
                <w:sz w:val="21"/>
              </w:rPr>
              <w:t>℃时的控制指标，括号内数值为水温≤</w:t>
            </w:r>
            <w:r>
              <w:rPr>
                <w:rFonts w:ascii="times new roman, times, serif" w:hAnsi="times new roman, times, serif" w:cs="times new roman, times, serif" w:eastAsia="times new roman, times, serif"/>
                <w:color w:val="000000"/>
                <w:sz w:val="21"/>
              </w:rPr>
              <w:t>12</w:t>
            </w:r>
            <w:r>
              <w:rPr>
                <w:rFonts w:ascii="宋体" w:hAnsi="宋体" w:cs="宋体" w:eastAsia="宋体"/>
                <w:color w:val="000000"/>
                <w:sz w:val="21"/>
              </w:rPr>
              <w:t>℃时的控制指标。注</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污染物排放监测位置</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污水处理厂废水总排放口。</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）污泥排放标准</w:t>
            </w:r>
          </w:p>
          <w:p>
            <w:pPr>
              <w:pStyle w:val="null3"/>
              <w:spacing w:after="165"/>
              <w:jc w:val="both"/>
            </w:pPr>
            <w:r>
              <w:rPr>
                <w:rFonts w:ascii="宋体" w:hAnsi="宋体" w:cs="宋体" w:eastAsia="宋体"/>
                <w:color w:val="000000"/>
                <w:sz w:val="21"/>
              </w:rPr>
              <w:t>本项目污泥经浓缩、脱水后含水率</w:t>
            </w: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60%</w:t>
            </w:r>
            <w:r>
              <w:rPr>
                <w:rFonts w:ascii="宋体" w:hAnsi="宋体" w:cs="宋体" w:eastAsia="宋体"/>
                <w:color w:val="000000"/>
                <w:sz w:val="21"/>
              </w:rPr>
              <w:t>且需满足终端处置的要求</w:t>
            </w:r>
            <w:r>
              <w:rPr>
                <w:rFonts w:ascii="宋体" w:hAnsi="宋体" w:cs="宋体" w:eastAsia="宋体"/>
                <w:color w:val="000000"/>
                <w:sz w:val="21"/>
              </w:rPr>
              <w:t>。</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w:t>
            </w:r>
            <w:r>
              <w:rPr>
                <w:rFonts w:ascii="宋体" w:hAnsi="宋体" w:cs="宋体" w:eastAsia="宋体"/>
                <w:color w:val="000000"/>
                <w:sz w:val="21"/>
              </w:rPr>
              <w:t>）大气污染物排放标准</w:t>
            </w:r>
          </w:p>
          <w:p>
            <w:pPr>
              <w:pStyle w:val="null3"/>
              <w:spacing w:after="165"/>
              <w:jc w:val="both"/>
            </w:pPr>
            <w:r>
              <w:rPr>
                <w:rFonts w:ascii="宋体" w:hAnsi="宋体" w:cs="宋体" w:eastAsia="宋体"/>
                <w:color w:val="000000"/>
                <w:sz w:val="21"/>
              </w:rPr>
              <w:t>本项目气体排放污染物浓度达到《城镇污水处理厂污染物排放标准》（</w:t>
            </w:r>
            <w:r>
              <w:rPr>
                <w:rFonts w:ascii="times new roman, times, serif" w:hAnsi="times new roman, times, serif" w:cs="times new roman, times, serif" w:eastAsia="times new roman, times, serif"/>
                <w:color w:val="000000"/>
                <w:sz w:val="21"/>
              </w:rPr>
              <w:t>GB18918-2002</w:t>
            </w:r>
            <w:r>
              <w:rPr>
                <w:rFonts w:ascii="宋体" w:hAnsi="宋体" w:cs="宋体" w:eastAsia="宋体"/>
                <w:color w:val="000000"/>
                <w:sz w:val="21"/>
              </w:rPr>
              <w:t>）中的</w:t>
            </w:r>
            <w:r>
              <w:rPr>
                <w:rFonts w:ascii="宋体" w:hAnsi="宋体" w:cs="宋体" w:eastAsia="宋体"/>
                <w:color w:val="000000"/>
                <w:sz w:val="21"/>
              </w:rPr>
              <w:t>二</w:t>
            </w:r>
            <w:r>
              <w:rPr>
                <w:rFonts w:ascii="宋体" w:hAnsi="宋体" w:cs="宋体" w:eastAsia="宋体"/>
                <w:color w:val="000000"/>
                <w:sz w:val="21"/>
              </w:rPr>
              <w:t>级标准；恶臭气体排放满足《恶臭污染物排放标准》（</w:t>
            </w:r>
            <w:r>
              <w:rPr>
                <w:rFonts w:ascii="times new roman, times, serif" w:hAnsi="times new roman, times, serif" w:cs="times new roman, times, serif" w:eastAsia="times new roman, times, serif"/>
                <w:color w:val="000000"/>
                <w:sz w:val="21"/>
              </w:rPr>
              <w:t>GB14554-93</w:t>
            </w:r>
            <w:r>
              <w:rPr>
                <w:rFonts w:ascii="宋体" w:hAnsi="宋体" w:cs="宋体" w:eastAsia="宋体"/>
                <w:color w:val="000000"/>
                <w:sz w:val="21"/>
              </w:rPr>
              <w:t>）中</w:t>
            </w:r>
            <w:r>
              <w:rPr>
                <w:rFonts w:ascii="宋体" w:hAnsi="宋体" w:cs="宋体" w:eastAsia="宋体"/>
                <w:color w:val="000000"/>
                <w:sz w:val="21"/>
              </w:rPr>
              <w:t>表</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的标准</w:t>
            </w:r>
            <w:r>
              <w:rPr>
                <w:rFonts w:ascii="宋体" w:hAnsi="宋体" w:cs="宋体" w:eastAsia="宋体"/>
                <w:color w:val="000000"/>
                <w:sz w:val="21"/>
              </w:rPr>
              <w:t>。</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5</w:t>
            </w:r>
            <w:r>
              <w:rPr>
                <w:rFonts w:ascii="宋体" w:hAnsi="宋体" w:cs="宋体" w:eastAsia="宋体"/>
                <w:color w:val="000000"/>
                <w:sz w:val="21"/>
              </w:rPr>
              <w:t>）噪声排放标准</w:t>
            </w:r>
          </w:p>
          <w:p>
            <w:pPr>
              <w:pStyle w:val="null3"/>
              <w:spacing w:after="165"/>
              <w:jc w:val="both"/>
            </w:pPr>
            <w:r>
              <w:rPr>
                <w:rFonts w:ascii="宋体" w:hAnsi="宋体" w:cs="宋体" w:eastAsia="宋体"/>
                <w:color w:val="000000"/>
                <w:sz w:val="21"/>
              </w:rPr>
              <w:t>本项目厂界</w:t>
            </w:r>
            <w:r>
              <w:rPr>
                <w:rFonts w:ascii="宋体" w:hAnsi="宋体" w:cs="宋体" w:eastAsia="宋体"/>
                <w:color w:val="000000"/>
                <w:sz w:val="21"/>
              </w:rPr>
              <w:t>四周的噪声满足</w:t>
            </w:r>
            <w:r>
              <w:rPr>
                <w:rFonts w:ascii="宋体" w:hAnsi="宋体" w:cs="宋体" w:eastAsia="宋体"/>
                <w:color w:val="000000"/>
                <w:sz w:val="21"/>
              </w:rPr>
              <w:t>《工业企业厂界环境噪声排放标准》（</w:t>
            </w:r>
            <w:r>
              <w:rPr>
                <w:rFonts w:ascii="times new roman, times, serif" w:hAnsi="times new roman, times, serif" w:cs="times new roman, times, serif" w:eastAsia="times new roman, times, serif"/>
                <w:color w:val="000000"/>
                <w:sz w:val="21"/>
              </w:rPr>
              <w:t>GB12348-2008</w:t>
            </w:r>
            <w:r>
              <w:rPr>
                <w:rFonts w:ascii="宋体" w:hAnsi="宋体" w:cs="宋体" w:eastAsia="宋体"/>
                <w:color w:val="000000"/>
                <w:sz w:val="21"/>
              </w:rPr>
              <w:t>）</w:t>
            </w:r>
            <w:r>
              <w:rPr>
                <w:rFonts w:ascii="宋体" w:hAnsi="宋体" w:cs="宋体" w:eastAsia="宋体"/>
                <w:color w:val="000000"/>
                <w:sz w:val="21"/>
              </w:rPr>
              <w:t>中</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类标准。</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6</w:t>
            </w:r>
            <w:r>
              <w:rPr>
                <w:rFonts w:ascii="宋体" w:hAnsi="宋体" w:cs="宋体" w:eastAsia="宋体"/>
                <w:color w:val="000000"/>
                <w:sz w:val="21"/>
              </w:rPr>
              <w:t>）</w:t>
            </w:r>
            <w:r>
              <w:rPr>
                <w:rFonts w:ascii="宋体" w:hAnsi="宋体" w:cs="宋体" w:eastAsia="宋体"/>
                <w:color w:val="000000"/>
                <w:sz w:val="21"/>
              </w:rPr>
              <w:t>固体废物</w:t>
            </w:r>
          </w:p>
          <w:p>
            <w:pPr>
              <w:pStyle w:val="null3"/>
              <w:spacing w:after="165"/>
              <w:jc w:val="both"/>
            </w:pPr>
            <w:r>
              <w:rPr>
                <w:rFonts w:ascii="宋体" w:hAnsi="宋体" w:cs="宋体" w:eastAsia="宋体"/>
                <w:color w:val="000000"/>
                <w:sz w:val="21"/>
              </w:rPr>
              <w:t>本项目一般固废满足《一般工业固体废物贮存和填埋污染控制标准》（</w:t>
            </w:r>
            <w:r>
              <w:rPr>
                <w:rFonts w:ascii="times new roman, times, serif" w:hAnsi="times new roman, times, serif" w:cs="times new roman, times, serif" w:eastAsia="times new roman, times, serif"/>
                <w:color w:val="000000"/>
                <w:sz w:val="21"/>
              </w:rPr>
              <w:t>GB18599-2020</w:t>
            </w:r>
            <w:r>
              <w:rPr>
                <w:rFonts w:ascii="宋体" w:hAnsi="宋体" w:cs="宋体" w:eastAsia="宋体"/>
                <w:color w:val="000000"/>
                <w:sz w:val="21"/>
              </w:rPr>
              <w:t>）中有关规定，危险废物满足《危险废物贮存污染控制标准》（</w:t>
            </w:r>
            <w:r>
              <w:rPr>
                <w:rFonts w:ascii="times new roman, times, serif" w:hAnsi="times new roman, times, serif" w:cs="times new roman, times, serif" w:eastAsia="times new roman, times, serif"/>
                <w:color w:val="000000"/>
                <w:sz w:val="21"/>
              </w:rPr>
              <w:t>GB18597-2001</w:t>
            </w:r>
            <w:r>
              <w:rPr>
                <w:rFonts w:ascii="宋体" w:hAnsi="宋体" w:cs="宋体" w:eastAsia="宋体"/>
                <w:color w:val="000000"/>
                <w:sz w:val="21"/>
              </w:rPr>
              <w:t>）及</w:t>
            </w:r>
            <w:r>
              <w:rPr>
                <w:rFonts w:ascii="times new roman, times, serif" w:hAnsi="times new roman, times, serif" w:cs="times new roman, times, serif" w:eastAsia="times new roman, times, serif"/>
                <w:color w:val="000000"/>
                <w:sz w:val="21"/>
              </w:rPr>
              <w:t>2013</w:t>
            </w:r>
            <w:r>
              <w:rPr>
                <w:rFonts w:ascii="宋体" w:hAnsi="宋体" w:cs="宋体" w:eastAsia="宋体"/>
                <w:color w:val="000000"/>
                <w:sz w:val="21"/>
              </w:rPr>
              <w:t>修改单要求。</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7</w:t>
            </w:r>
            <w:r>
              <w:rPr>
                <w:rFonts w:ascii="宋体" w:hAnsi="宋体" w:cs="宋体" w:eastAsia="宋体"/>
                <w:color w:val="000000"/>
                <w:sz w:val="21"/>
              </w:rPr>
              <w:t>）土壤污染责任承担</w:t>
            </w:r>
          </w:p>
          <w:p>
            <w:pPr>
              <w:pStyle w:val="null3"/>
              <w:spacing w:after="165"/>
              <w:jc w:val="both"/>
            </w:pPr>
            <w:r>
              <w:rPr>
                <w:rFonts w:ascii="宋体" w:hAnsi="宋体" w:cs="宋体" w:eastAsia="宋体"/>
                <w:color w:val="000000"/>
                <w:sz w:val="21"/>
              </w:rPr>
              <w:t>特许经营期内</w:t>
            </w:r>
            <w:r>
              <w:rPr>
                <w:rFonts w:ascii="宋体" w:hAnsi="宋体" w:cs="宋体" w:eastAsia="宋体"/>
                <w:color w:val="000000"/>
                <w:sz w:val="21"/>
              </w:rPr>
              <w:t>，</w:t>
            </w:r>
            <w:r>
              <w:rPr>
                <w:rFonts w:ascii="宋体" w:hAnsi="宋体" w:cs="宋体" w:eastAsia="宋体"/>
                <w:color w:val="000000"/>
                <w:sz w:val="21"/>
              </w:rPr>
              <w:t>项目公司</w:t>
            </w:r>
            <w:r>
              <w:rPr>
                <w:rFonts w:ascii="宋体" w:hAnsi="宋体" w:cs="宋体" w:eastAsia="宋体"/>
                <w:color w:val="000000"/>
                <w:sz w:val="21"/>
              </w:rPr>
              <w:t>按照环保标准和规范要求负责土壤污染风险管控和修复，并承担相应的土壤污染责任。</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8</w:t>
            </w:r>
            <w:r>
              <w:rPr>
                <w:rFonts w:ascii="宋体" w:hAnsi="宋体" w:cs="宋体" w:eastAsia="宋体"/>
                <w:color w:val="000000"/>
                <w:sz w:val="21"/>
              </w:rPr>
              <w:t>）</w:t>
            </w:r>
            <w:r>
              <w:rPr>
                <w:rFonts w:ascii="宋体" w:hAnsi="宋体" w:cs="宋体" w:eastAsia="宋体"/>
                <w:color w:val="000000"/>
                <w:sz w:val="21"/>
              </w:rPr>
              <w:t>水质检测</w:t>
            </w:r>
          </w:p>
          <w:p>
            <w:pPr>
              <w:pStyle w:val="null3"/>
              <w:spacing w:after="165"/>
              <w:jc w:val="both"/>
            </w:pPr>
            <w:r>
              <w:rPr>
                <w:rFonts w:ascii="宋体" w:hAnsi="宋体" w:cs="宋体" w:eastAsia="宋体"/>
                <w:color w:val="000000"/>
                <w:sz w:val="21"/>
              </w:rPr>
              <w:t>项目公司对各种水质指标的检测符合《城镇污水处理厂污染物排放标准》（</w:t>
            </w:r>
            <w:r>
              <w:rPr>
                <w:rFonts w:ascii="times new roman, times, serif" w:hAnsi="times new roman, times, serif" w:cs="times new roman, times, serif" w:eastAsia="times new roman, times, serif"/>
                <w:color w:val="000000"/>
                <w:sz w:val="21"/>
              </w:rPr>
              <w:t>GB18918-2002</w:t>
            </w:r>
            <w:r>
              <w:rPr>
                <w:rFonts w:ascii="宋体" w:hAnsi="宋体" w:cs="宋体" w:eastAsia="宋体"/>
                <w:color w:val="000000"/>
                <w:sz w:val="21"/>
              </w:rPr>
              <w:t>）的规定；水样的采集满足国家标准《水质采样方案设计技术规定》（</w:t>
            </w:r>
            <w:r>
              <w:rPr>
                <w:rFonts w:ascii="times new roman, times, serif" w:hAnsi="times new roman, times, serif" w:cs="times new roman, times, serif" w:eastAsia="times new roman, times, serif"/>
                <w:color w:val="000000"/>
                <w:sz w:val="21"/>
              </w:rPr>
              <w:t>HJ495-2009</w:t>
            </w:r>
            <w:r>
              <w:rPr>
                <w:rFonts w:ascii="宋体" w:hAnsi="宋体" w:cs="宋体" w:eastAsia="宋体"/>
                <w:color w:val="000000"/>
                <w:sz w:val="21"/>
              </w:rPr>
              <w:t>）和国家标准《水质采样技术指导》（</w:t>
            </w:r>
            <w:r>
              <w:rPr>
                <w:rFonts w:ascii="times new roman, times, serif" w:hAnsi="times new roman, times, serif" w:cs="times new roman, times, serif" w:eastAsia="times new roman, times, serif"/>
                <w:color w:val="000000"/>
                <w:sz w:val="21"/>
              </w:rPr>
              <w:t>HJ494-2009</w:t>
            </w:r>
            <w:r>
              <w:rPr>
                <w:rFonts w:ascii="宋体" w:hAnsi="宋体" w:cs="宋体" w:eastAsia="宋体"/>
                <w:color w:val="000000"/>
                <w:sz w:val="21"/>
              </w:rPr>
              <w:t>）的要求；水样储存满足国家标准《水质采样样品的保存和管理技术规定》（</w:t>
            </w:r>
            <w:r>
              <w:rPr>
                <w:rFonts w:ascii="times new roman, times, serif" w:hAnsi="times new roman, times, serif" w:cs="times new roman, times, serif" w:eastAsia="times new roman, times, serif"/>
                <w:color w:val="000000"/>
                <w:sz w:val="21"/>
              </w:rPr>
              <w:t>HJ493-2009</w:t>
            </w:r>
            <w:r>
              <w:rPr>
                <w:rFonts w:ascii="宋体" w:hAnsi="宋体" w:cs="宋体" w:eastAsia="宋体"/>
                <w:color w:val="000000"/>
                <w:sz w:val="21"/>
              </w:rPr>
              <w:t>）的要求。</w:t>
            </w:r>
          </w:p>
          <w:p>
            <w:pPr>
              <w:pStyle w:val="null3"/>
              <w:spacing w:after="165"/>
              <w:jc w:val="both"/>
            </w:pPr>
            <w:r>
              <w:rPr>
                <w:rFonts w:ascii="宋体" w:hAnsi="宋体" w:cs="宋体" w:eastAsia="宋体"/>
                <w:color w:val="000000"/>
                <w:sz w:val="21"/>
              </w:rPr>
              <w:t>任何一次检测的任何出水水质指标超标或进水水质指标超标，</w:t>
            </w:r>
            <w:r>
              <w:rPr>
                <w:rFonts w:ascii="宋体" w:hAnsi="宋体" w:cs="宋体" w:eastAsia="宋体"/>
                <w:color w:val="000000"/>
                <w:sz w:val="21"/>
              </w:rPr>
              <w:t>项目公司</w:t>
            </w:r>
            <w:r>
              <w:rPr>
                <w:rFonts w:ascii="宋体" w:hAnsi="宋体" w:cs="宋体" w:eastAsia="宋体"/>
                <w:color w:val="000000"/>
                <w:sz w:val="21"/>
              </w:rPr>
              <w:t>立即通知</w:t>
            </w:r>
            <w:r>
              <w:rPr>
                <w:rFonts w:ascii="宋体" w:hAnsi="宋体" w:cs="宋体" w:eastAsia="宋体"/>
                <w:color w:val="000000"/>
                <w:sz w:val="21"/>
              </w:rPr>
              <w:t>区</w:t>
            </w:r>
            <w:r>
              <w:rPr>
                <w:rFonts w:ascii="宋体" w:hAnsi="宋体" w:cs="宋体" w:eastAsia="宋体"/>
                <w:color w:val="000000"/>
                <w:sz w:val="21"/>
              </w:rPr>
              <w:t>水务局。</w:t>
            </w:r>
            <w:r>
              <w:rPr>
                <w:rFonts w:ascii="宋体" w:hAnsi="宋体" w:cs="宋体" w:eastAsia="宋体"/>
                <w:color w:val="000000"/>
                <w:sz w:val="21"/>
              </w:rPr>
              <w:t>区</w:t>
            </w:r>
            <w:r>
              <w:rPr>
                <w:rFonts w:ascii="宋体" w:hAnsi="宋体" w:cs="宋体" w:eastAsia="宋体"/>
                <w:color w:val="000000"/>
                <w:sz w:val="21"/>
              </w:rPr>
              <w:t>水务局有权随时利用备用水样，对水质指标进行一项或多项检测，以核实</w:t>
            </w:r>
            <w:r>
              <w:rPr>
                <w:rFonts w:ascii="宋体" w:hAnsi="宋体" w:cs="宋体" w:eastAsia="宋体"/>
                <w:color w:val="000000"/>
                <w:sz w:val="21"/>
              </w:rPr>
              <w:t>项目公司</w:t>
            </w:r>
            <w:r>
              <w:rPr>
                <w:rFonts w:ascii="宋体" w:hAnsi="宋体" w:cs="宋体" w:eastAsia="宋体"/>
                <w:color w:val="000000"/>
                <w:sz w:val="21"/>
              </w:rPr>
              <w:t>提供的结果。</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9</w:t>
            </w:r>
            <w:r>
              <w:rPr>
                <w:rFonts w:ascii="宋体" w:hAnsi="宋体" w:cs="宋体" w:eastAsia="宋体"/>
                <w:color w:val="000000"/>
                <w:sz w:val="21"/>
              </w:rPr>
              <w:t>）</w:t>
            </w:r>
            <w:r>
              <w:rPr>
                <w:rFonts w:ascii="宋体" w:hAnsi="宋体" w:cs="宋体" w:eastAsia="宋体"/>
                <w:color w:val="000000"/>
                <w:sz w:val="21"/>
              </w:rPr>
              <w:t>在线监测</w:t>
            </w:r>
          </w:p>
          <w:p>
            <w:pPr>
              <w:pStyle w:val="null3"/>
              <w:spacing w:after="165"/>
              <w:jc w:val="both"/>
            </w:pPr>
            <w:r>
              <w:rPr>
                <w:rFonts w:ascii="宋体" w:hAnsi="宋体" w:cs="宋体" w:eastAsia="宋体"/>
                <w:color w:val="000000"/>
                <w:sz w:val="21"/>
              </w:rPr>
              <w:t>在线监测</w:t>
            </w:r>
            <w:r>
              <w:rPr>
                <w:rFonts w:ascii="宋体" w:hAnsi="宋体" w:cs="宋体" w:eastAsia="宋体"/>
                <w:color w:val="000000"/>
                <w:sz w:val="21"/>
              </w:rPr>
              <w:t>系统</w:t>
            </w:r>
            <w:r>
              <w:rPr>
                <w:rFonts w:ascii="宋体" w:hAnsi="宋体" w:cs="宋体" w:eastAsia="宋体"/>
                <w:color w:val="000000"/>
                <w:sz w:val="21"/>
              </w:rPr>
              <w:t>由项目公司负责</w:t>
            </w:r>
            <w:r>
              <w:rPr>
                <w:rFonts w:ascii="宋体" w:hAnsi="宋体" w:cs="宋体" w:eastAsia="宋体"/>
                <w:color w:val="000000"/>
                <w:sz w:val="21"/>
              </w:rPr>
              <w:t>运行</w:t>
            </w:r>
            <w:r>
              <w:rPr>
                <w:rFonts w:ascii="宋体" w:hAnsi="宋体" w:cs="宋体" w:eastAsia="宋体"/>
                <w:color w:val="000000"/>
                <w:sz w:val="21"/>
              </w:rPr>
              <w:t>维护，并实现与</w:t>
            </w:r>
            <w:r>
              <w:rPr>
                <w:rFonts w:ascii="宋体" w:hAnsi="宋体" w:cs="宋体" w:eastAsia="宋体"/>
                <w:color w:val="000000"/>
                <w:sz w:val="21"/>
              </w:rPr>
              <w:t>生态环境主管部门</w:t>
            </w:r>
            <w:r>
              <w:rPr>
                <w:rFonts w:ascii="宋体" w:hAnsi="宋体" w:cs="宋体" w:eastAsia="宋体"/>
                <w:color w:val="000000"/>
                <w:sz w:val="21"/>
              </w:rPr>
              <w:t>自动监测监控系统联网、上传数据。</w:t>
            </w:r>
          </w:p>
          <w:p>
            <w:pPr>
              <w:pStyle w:val="null3"/>
              <w:spacing w:after="165"/>
              <w:jc w:val="both"/>
            </w:pPr>
            <w:r>
              <w:rPr>
                <w:rFonts w:ascii="times new roman, times, serif" w:hAnsi="times new roman, times, serif" w:cs="times new roman, times, serif" w:eastAsia="times new roman, times, serif"/>
                <w:b/>
                <w:color w:val="000000"/>
                <w:sz w:val="21"/>
              </w:rPr>
              <w:t>4</w:t>
            </w:r>
            <w:r>
              <w:rPr>
                <w:rFonts w:ascii="宋体" w:hAnsi="宋体" w:cs="宋体" w:eastAsia="宋体"/>
                <w:b/>
                <w:color w:val="000000"/>
                <w:sz w:val="21"/>
              </w:rPr>
              <w:t>、运行时间要求</w:t>
            </w:r>
          </w:p>
          <w:p>
            <w:pPr>
              <w:pStyle w:val="null3"/>
              <w:spacing w:after="165"/>
              <w:jc w:val="both"/>
            </w:pPr>
            <w:r>
              <w:rPr>
                <w:rFonts w:ascii="宋体" w:hAnsi="宋体" w:cs="宋体" w:eastAsia="宋体"/>
                <w:color w:val="000000"/>
                <w:sz w:val="21"/>
              </w:rPr>
              <w:t>项目正式运营后，项目公司每日二十四（</w:t>
            </w:r>
            <w:r>
              <w:rPr>
                <w:rFonts w:ascii="times new roman, times, serif" w:hAnsi="times new roman, times, serif" w:cs="times new roman, times, serif" w:eastAsia="times new roman, times, serif"/>
                <w:color w:val="000000"/>
                <w:sz w:val="21"/>
              </w:rPr>
              <w:t>24</w:t>
            </w:r>
            <w:r>
              <w:rPr>
                <w:rFonts w:ascii="宋体" w:hAnsi="宋体" w:cs="宋体" w:eastAsia="宋体"/>
                <w:color w:val="000000"/>
                <w:sz w:val="21"/>
              </w:rPr>
              <w:t>）小时，每年三百六十五（</w:t>
            </w:r>
            <w:r>
              <w:rPr>
                <w:rFonts w:ascii="times new roman, times, serif" w:hAnsi="times new roman, times, serif" w:cs="times new roman, times, serif" w:eastAsia="times new roman, times, serif"/>
                <w:color w:val="000000"/>
                <w:sz w:val="21"/>
              </w:rPr>
              <w:t>365</w:t>
            </w:r>
            <w:r>
              <w:rPr>
                <w:rFonts w:ascii="宋体" w:hAnsi="宋体" w:cs="宋体" w:eastAsia="宋体"/>
                <w:color w:val="000000"/>
                <w:sz w:val="21"/>
              </w:rPr>
              <w:t>）日（闰年三百六十六（</w:t>
            </w:r>
            <w:r>
              <w:rPr>
                <w:rFonts w:ascii="times new roman, times, serif" w:hAnsi="times new roman, times, serif" w:cs="times new roman, times, serif" w:eastAsia="times new roman, times, serif"/>
                <w:color w:val="000000"/>
                <w:sz w:val="21"/>
              </w:rPr>
              <w:t>366</w:t>
            </w:r>
            <w:r>
              <w:rPr>
                <w:rFonts w:ascii="宋体" w:hAnsi="宋体" w:cs="宋体" w:eastAsia="宋体"/>
                <w:color w:val="000000"/>
                <w:sz w:val="21"/>
              </w:rPr>
              <w:t>）日）连续接收并处理污水，并将从接收点排入的进水经处理达到出水质量标准后，排放至排放点，但计划内暂停服务和应急事件导致的暂停服务期间除外。</w:t>
            </w:r>
          </w:p>
          <w:p>
            <w:pPr>
              <w:pStyle w:val="null3"/>
              <w:spacing w:after="165"/>
              <w:jc w:val="both"/>
            </w:pPr>
            <w:r>
              <w:rPr>
                <w:rFonts w:ascii="times new roman, times, serif" w:hAnsi="times new roman, times, serif" w:cs="times new roman, times, serif" w:eastAsia="times new roman, times, serif"/>
                <w:b/>
                <w:color w:val="000000"/>
                <w:sz w:val="21"/>
              </w:rPr>
              <w:t>5</w:t>
            </w:r>
            <w:r>
              <w:rPr>
                <w:rFonts w:ascii="宋体" w:hAnsi="宋体" w:cs="宋体" w:eastAsia="宋体"/>
                <w:b/>
                <w:color w:val="000000"/>
                <w:sz w:val="21"/>
              </w:rPr>
              <w:t>、进水</w:t>
            </w:r>
            <w:r>
              <w:rPr>
                <w:rFonts w:ascii="宋体" w:hAnsi="宋体" w:cs="宋体" w:eastAsia="宋体"/>
                <w:b/>
                <w:color w:val="000000"/>
                <w:sz w:val="21"/>
              </w:rPr>
              <w:t>水质</w:t>
            </w:r>
            <w:r>
              <w:rPr>
                <w:rFonts w:ascii="宋体" w:hAnsi="宋体" w:cs="宋体" w:eastAsia="宋体"/>
                <w:b/>
                <w:color w:val="000000"/>
                <w:sz w:val="21"/>
              </w:rPr>
              <w:t>超标的处理</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）污水进水中除</w:t>
            </w:r>
            <w:r>
              <w:rPr>
                <w:rFonts w:ascii="times new roman, times, serif" w:hAnsi="times new roman, times, serif" w:cs="times new roman, times, serif" w:eastAsia="times new roman, times, serif"/>
                <w:color w:val="000000"/>
                <w:sz w:val="21"/>
              </w:rPr>
              <w:t>pH</w:t>
            </w:r>
            <w:r>
              <w:rPr>
                <w:rFonts w:ascii="宋体" w:hAnsi="宋体" w:cs="宋体" w:eastAsia="宋体"/>
                <w:color w:val="000000"/>
                <w:sz w:val="21"/>
              </w:rPr>
              <w:t>值以外的任何一种进水水质指标超过表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的进水水质标准</w:t>
            </w:r>
            <w:r>
              <w:rPr>
                <w:rFonts w:ascii="times new roman, times, serif" w:hAnsi="times new roman, times, serif" w:cs="times new roman, times, serif" w:eastAsia="times new roman, times, serif"/>
                <w:color w:val="000000"/>
                <w:sz w:val="21"/>
              </w:rPr>
              <w:t>10%</w:t>
            </w:r>
            <w:r>
              <w:rPr>
                <w:rFonts w:ascii="宋体" w:hAnsi="宋体" w:cs="宋体" w:eastAsia="宋体"/>
                <w:color w:val="000000"/>
                <w:sz w:val="21"/>
              </w:rPr>
              <w:t>以内（含</w:t>
            </w:r>
            <w:r>
              <w:rPr>
                <w:rFonts w:ascii="times new roman, times, serif" w:hAnsi="times new roman, times, serif" w:cs="times new roman, times, serif" w:eastAsia="times new roman, times, serif"/>
                <w:color w:val="000000"/>
                <w:sz w:val="21"/>
              </w:rPr>
              <w:t>10%</w:t>
            </w:r>
            <w:r>
              <w:rPr>
                <w:rFonts w:ascii="宋体" w:hAnsi="宋体" w:cs="宋体" w:eastAsia="宋体"/>
                <w:color w:val="000000"/>
                <w:sz w:val="21"/>
              </w:rPr>
              <w:t>），视为此种超标在污水处理厂正常处理范围之内，项目公司有义务保证出水水质符合表</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的水质标准，政府方按照相关约定支付污水处理服务费。</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2</w:t>
            </w:r>
            <w:r>
              <w:rPr>
                <w:rFonts w:ascii="宋体" w:hAnsi="宋体" w:cs="宋体" w:eastAsia="宋体"/>
                <w:color w:val="000000"/>
                <w:sz w:val="21"/>
              </w:rPr>
              <w:t>）污水进水中除</w:t>
            </w:r>
            <w:r>
              <w:rPr>
                <w:rFonts w:ascii="times new roman, times, serif" w:hAnsi="times new roman, times, serif" w:cs="times new roman, times, serif" w:eastAsia="times new roman, times, serif"/>
                <w:color w:val="000000"/>
                <w:sz w:val="21"/>
              </w:rPr>
              <w:t>pH</w:t>
            </w:r>
            <w:r>
              <w:rPr>
                <w:rFonts w:ascii="宋体" w:hAnsi="宋体" w:cs="宋体" w:eastAsia="宋体"/>
                <w:color w:val="000000"/>
                <w:sz w:val="21"/>
              </w:rPr>
              <w:t>值以外的任何一种进水水质指标超过表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的进水水质标准</w:t>
            </w:r>
            <w:r>
              <w:rPr>
                <w:rFonts w:ascii="times new roman, times, serif" w:hAnsi="times new roman, times, serif" w:cs="times new roman, times, serif" w:eastAsia="times new roman, times, serif"/>
                <w:color w:val="000000"/>
                <w:sz w:val="21"/>
              </w:rPr>
              <w:t>10%</w:t>
            </w:r>
            <w:r>
              <w:rPr>
                <w:rFonts w:ascii="宋体" w:hAnsi="宋体" w:cs="宋体" w:eastAsia="宋体"/>
                <w:color w:val="000000"/>
                <w:sz w:val="21"/>
              </w:rPr>
              <w:t>，且在</w:t>
            </w:r>
            <w:r>
              <w:rPr>
                <w:rFonts w:ascii="times new roman, times, serif" w:hAnsi="times new roman, times, serif" w:cs="times new roman, times, serif" w:eastAsia="times new roman, times, serif"/>
                <w:color w:val="000000"/>
                <w:sz w:val="21"/>
              </w:rPr>
              <w:t>30%</w:t>
            </w:r>
            <w:r>
              <w:rPr>
                <w:rFonts w:ascii="宋体" w:hAnsi="宋体" w:cs="宋体" w:eastAsia="宋体"/>
                <w:color w:val="000000"/>
                <w:sz w:val="21"/>
              </w:rPr>
              <w:t>以内（含</w:t>
            </w:r>
            <w:r>
              <w:rPr>
                <w:rFonts w:ascii="times new roman, times, serif" w:hAnsi="times new roman, times, serif" w:cs="times new roman, times, serif" w:eastAsia="times new roman, times, serif"/>
                <w:color w:val="000000"/>
                <w:sz w:val="21"/>
              </w:rPr>
              <w:t>30%</w:t>
            </w:r>
            <w:r>
              <w:rPr>
                <w:rFonts w:ascii="宋体" w:hAnsi="宋体" w:cs="宋体" w:eastAsia="宋体"/>
                <w:color w:val="000000"/>
                <w:sz w:val="21"/>
              </w:rPr>
              <w:t>），项目公司处理收到的污水，并有义务保证污水处理厂出水水质达到《特许经营协议》约定的出水质量标准（以去除率计），政府方按照相关约定支付污水处理服务费。</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）污水进水中除</w:t>
            </w:r>
            <w:r>
              <w:rPr>
                <w:rFonts w:ascii="times new roman, times, serif" w:hAnsi="times new roman, times, serif" w:cs="times new roman, times, serif" w:eastAsia="times new roman, times, serif"/>
                <w:color w:val="000000"/>
                <w:sz w:val="21"/>
              </w:rPr>
              <w:t>pH</w:t>
            </w:r>
            <w:r>
              <w:rPr>
                <w:rFonts w:ascii="宋体" w:hAnsi="宋体" w:cs="宋体" w:eastAsia="宋体"/>
                <w:color w:val="000000"/>
                <w:sz w:val="21"/>
              </w:rPr>
              <w:t>值以外的任何一种进水主要水质指标超过表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的进水质量标准</w:t>
            </w:r>
            <w:r>
              <w:rPr>
                <w:rFonts w:ascii="times new roman, times, serif" w:hAnsi="times new roman, times, serif" w:cs="times new roman, times, serif" w:eastAsia="times new roman, times, serif"/>
                <w:color w:val="000000"/>
                <w:sz w:val="21"/>
              </w:rPr>
              <w:t>30%</w:t>
            </w:r>
            <w:r>
              <w:rPr>
                <w:rFonts w:ascii="宋体" w:hAnsi="宋体" w:cs="宋体" w:eastAsia="宋体"/>
                <w:color w:val="000000"/>
                <w:sz w:val="21"/>
              </w:rPr>
              <w:t>，且造成污水出水主要水质指标超标，在该事件持续期间，在鄠邑区政府权限范围内免除项目公司责任。因此受到上级环保部门处罚的，项目公司有对责任方进行追诉的权利。</w:t>
            </w:r>
          </w:p>
          <w:p>
            <w:pPr>
              <w:pStyle w:val="null3"/>
              <w:spacing w:after="165"/>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w:t>
            </w:r>
            <w:r>
              <w:rPr>
                <w:rFonts w:ascii="宋体" w:hAnsi="宋体" w:cs="宋体" w:eastAsia="宋体"/>
                <w:color w:val="000000"/>
                <w:sz w:val="21"/>
              </w:rPr>
              <w:t>）若污水进水</w:t>
            </w:r>
            <w:r>
              <w:rPr>
                <w:rFonts w:ascii="times new roman, times, serif" w:hAnsi="times new roman, times, serif" w:cs="times new roman, times, serif" w:eastAsia="times new roman, times, serif"/>
                <w:color w:val="000000"/>
                <w:sz w:val="21"/>
              </w:rPr>
              <w:t>pH</w:t>
            </w:r>
            <w:r>
              <w:rPr>
                <w:rFonts w:ascii="宋体" w:hAnsi="宋体" w:cs="宋体" w:eastAsia="宋体"/>
                <w:color w:val="000000"/>
                <w:sz w:val="21"/>
              </w:rPr>
              <w:t>值出现超出表</w:t>
            </w:r>
            <w:r>
              <w:rPr>
                <w:rFonts w:ascii="times new roman, times, serif" w:hAnsi="times new roman, times, serif" w:cs="times new roman, times, serif" w:eastAsia="times new roman, times, serif"/>
                <w:color w:val="000000"/>
                <w:sz w:val="21"/>
              </w:rPr>
              <w:t>1</w:t>
            </w:r>
            <w:r>
              <w:rPr>
                <w:rFonts w:ascii="宋体" w:hAnsi="宋体" w:cs="宋体" w:eastAsia="宋体"/>
                <w:color w:val="000000"/>
                <w:sz w:val="21"/>
              </w:rPr>
              <w:t>中的指标情况（即</w:t>
            </w:r>
            <w:r>
              <w:rPr>
                <w:rFonts w:ascii="times new roman, times, serif" w:hAnsi="times new roman, times, serif" w:cs="times new roman, times, serif" w:eastAsia="times new roman, times, serif"/>
                <w:color w:val="000000"/>
                <w:sz w:val="21"/>
              </w:rPr>
              <w:t>pH</w:t>
            </w:r>
            <w:r>
              <w:rPr>
                <w:rFonts w:ascii="宋体" w:hAnsi="宋体" w:cs="宋体" w:eastAsia="宋体"/>
                <w:color w:val="000000"/>
                <w:sz w:val="21"/>
              </w:rPr>
              <w:t>超出</w:t>
            </w:r>
            <w:r>
              <w:rPr>
                <w:rFonts w:ascii="times new roman, times, serif" w:hAnsi="times new roman, times, serif" w:cs="times new roman, times, serif" w:eastAsia="times new roman, times, serif"/>
                <w:color w:val="000000"/>
                <w:sz w:val="21"/>
              </w:rPr>
              <w:t>6-9</w:t>
            </w:r>
            <w:r>
              <w:rPr>
                <w:rFonts w:ascii="宋体" w:hAnsi="宋体" w:cs="宋体" w:eastAsia="宋体"/>
                <w:color w:val="000000"/>
                <w:sz w:val="21"/>
              </w:rPr>
              <w:t>的范围），且造成污水出水主要水质指标超标，在该事件持续期间，在鄠邑区政府权限范围内免除项目公司责任。</w:t>
            </w:r>
          </w:p>
          <w:p>
            <w:pPr>
              <w:pStyle w:val="null3"/>
              <w:spacing w:after="165"/>
              <w:jc w:val="both"/>
            </w:pPr>
            <w:r>
              <w:rPr>
                <w:rFonts w:ascii="times new roman, times, serif" w:hAnsi="times new roman, times, serif" w:cs="times new roman, times, serif" w:eastAsia="times new roman, times, serif"/>
                <w:b/>
                <w:color w:val="000000"/>
                <w:sz w:val="21"/>
              </w:rPr>
              <w:t>6</w:t>
            </w:r>
            <w:r>
              <w:rPr>
                <w:rFonts w:ascii="宋体" w:hAnsi="宋体" w:cs="宋体" w:eastAsia="宋体"/>
                <w:b/>
                <w:color w:val="000000"/>
                <w:sz w:val="21"/>
              </w:rPr>
              <w:t>、运营管理费用承担</w:t>
            </w:r>
          </w:p>
          <w:p>
            <w:pPr>
              <w:pStyle w:val="null3"/>
              <w:spacing w:after="165"/>
              <w:jc w:val="both"/>
            </w:pPr>
            <w:r>
              <w:rPr>
                <w:rFonts w:ascii="宋体" w:hAnsi="宋体" w:cs="宋体" w:eastAsia="宋体"/>
                <w:color w:val="000000"/>
                <w:sz w:val="21"/>
              </w:rPr>
              <w:t>特许经营期内，污泥处置费用由政府承担，运输距离在</w:t>
            </w:r>
            <w:r>
              <w:rPr>
                <w:rFonts w:ascii="times new roman, times, serif" w:hAnsi="times new roman, times, serif" w:cs="times new roman, times, serif" w:eastAsia="times new roman, times, serif"/>
                <w:color w:val="000000"/>
                <w:sz w:val="21"/>
              </w:rPr>
              <w:t>20km</w:t>
            </w:r>
            <w:r>
              <w:rPr>
                <w:rFonts w:ascii="宋体" w:hAnsi="宋体" w:cs="宋体" w:eastAsia="宋体"/>
                <w:color w:val="000000"/>
                <w:sz w:val="21"/>
              </w:rPr>
              <w:t>范围以内（含</w:t>
            </w:r>
            <w:r>
              <w:rPr>
                <w:rFonts w:ascii="times new roman, times, serif" w:hAnsi="times new roman, times, serif" w:cs="times new roman, times, serif" w:eastAsia="times new roman, times, serif"/>
                <w:color w:val="000000"/>
                <w:sz w:val="21"/>
              </w:rPr>
              <w:t>20km</w:t>
            </w:r>
            <w:r>
              <w:rPr>
                <w:rFonts w:ascii="宋体" w:hAnsi="宋体" w:cs="宋体" w:eastAsia="宋体"/>
                <w:color w:val="000000"/>
                <w:sz w:val="21"/>
              </w:rPr>
              <w:t>）的污泥运输费用由项目公司承担，运输距离超出</w:t>
            </w:r>
            <w:r>
              <w:rPr>
                <w:rFonts w:ascii="times new roman, times, serif" w:hAnsi="times new roman, times, serif" w:cs="times new roman, times, serif" w:eastAsia="times new roman, times, serif"/>
                <w:color w:val="000000"/>
                <w:sz w:val="21"/>
              </w:rPr>
              <w:t>20km</w:t>
            </w:r>
            <w:r>
              <w:rPr>
                <w:rFonts w:ascii="宋体" w:hAnsi="宋体" w:cs="宋体" w:eastAsia="宋体"/>
                <w:color w:val="000000"/>
                <w:sz w:val="21"/>
              </w:rPr>
              <w:t>的污泥运输费用由项目公司与实施机构另行协商。其他运营管理费用包括电费、药剂费、水费、工资福利费、维修费（含大修费用）、管理费用等由项目公司承担。</w:t>
            </w:r>
          </w:p>
          <w:p>
            <w:pPr>
              <w:pStyle w:val="null3"/>
              <w:spacing w:after="165"/>
              <w:jc w:val="both"/>
            </w:pPr>
            <w:r>
              <w:rPr>
                <w:rFonts w:ascii="times new roman, times, serif" w:hAnsi="times new roman, times, serif" w:cs="times new roman, times, serif" w:eastAsia="times new roman, times, serif"/>
                <w:b/>
                <w:color w:val="000000"/>
                <w:sz w:val="21"/>
              </w:rPr>
              <w:t>7</w:t>
            </w:r>
            <w:r>
              <w:rPr>
                <w:rFonts w:ascii="宋体" w:hAnsi="宋体" w:cs="宋体" w:eastAsia="宋体"/>
                <w:b/>
                <w:color w:val="000000"/>
                <w:sz w:val="21"/>
              </w:rPr>
              <w:t>、</w:t>
            </w:r>
            <w:r>
              <w:rPr>
                <w:rFonts w:ascii="宋体" w:hAnsi="宋体" w:cs="宋体" w:eastAsia="宋体"/>
                <w:b/>
                <w:color w:val="000000"/>
                <w:sz w:val="21"/>
              </w:rPr>
              <w:t>运营管理责任</w:t>
            </w:r>
          </w:p>
          <w:p>
            <w:pPr>
              <w:pStyle w:val="null3"/>
              <w:spacing w:after="165"/>
              <w:jc w:val="both"/>
            </w:pPr>
            <w:r>
              <w:rPr>
                <w:rFonts w:ascii="宋体" w:hAnsi="宋体" w:cs="宋体" w:eastAsia="宋体"/>
                <w:color w:val="000000"/>
                <w:sz w:val="21"/>
              </w:rPr>
              <w:t>在开始运营之前，</w:t>
            </w:r>
            <w:r>
              <w:rPr>
                <w:rFonts w:ascii="宋体" w:hAnsi="宋体" w:cs="宋体" w:eastAsia="宋体"/>
                <w:color w:val="000000"/>
                <w:sz w:val="21"/>
              </w:rPr>
              <w:t>项目公司</w:t>
            </w:r>
            <w:r>
              <w:rPr>
                <w:rFonts w:ascii="宋体" w:hAnsi="宋体" w:cs="宋体" w:eastAsia="宋体"/>
                <w:color w:val="000000"/>
                <w:sz w:val="21"/>
              </w:rPr>
              <w:t>应</w:t>
            </w:r>
            <w:r>
              <w:rPr>
                <w:rFonts w:ascii="宋体" w:hAnsi="宋体" w:cs="宋体" w:eastAsia="宋体"/>
                <w:color w:val="000000"/>
                <w:sz w:val="21"/>
              </w:rPr>
              <w:t>结合原运营管理单位运行维护相关规定（如有），修改完善或</w:t>
            </w:r>
            <w:r>
              <w:rPr>
                <w:rFonts w:ascii="宋体" w:hAnsi="宋体" w:cs="宋体" w:eastAsia="宋体"/>
                <w:color w:val="000000"/>
                <w:sz w:val="21"/>
              </w:rPr>
              <w:t>编制运行与维护手册。该手册应包括生产运行、日常维护、设备设施检修内容、程序和频率等，并在开始运营日之前报送实施机构备查。</w:t>
            </w:r>
          </w:p>
          <w:p>
            <w:pPr>
              <w:pStyle w:val="null3"/>
              <w:spacing w:after="165"/>
              <w:jc w:val="both"/>
            </w:pPr>
            <w:r>
              <w:rPr>
                <w:rFonts w:ascii="宋体" w:hAnsi="宋体" w:cs="宋体" w:eastAsia="宋体"/>
                <w:color w:val="000000"/>
                <w:sz w:val="21"/>
              </w:rPr>
              <w:t>项目公司</w:t>
            </w:r>
            <w:r>
              <w:rPr>
                <w:rFonts w:ascii="宋体" w:hAnsi="宋体" w:cs="宋体" w:eastAsia="宋体"/>
                <w:color w:val="000000"/>
                <w:sz w:val="21"/>
              </w:rPr>
              <w:t>应</w:t>
            </w:r>
            <w:r>
              <w:rPr>
                <w:rFonts w:ascii="宋体" w:hAnsi="宋体" w:cs="宋体" w:eastAsia="宋体"/>
                <w:color w:val="000000"/>
                <w:sz w:val="21"/>
              </w:rPr>
              <w:t>按照有关技术政策和技术规范要求，</w:t>
            </w:r>
            <w:r>
              <w:rPr>
                <w:rFonts w:ascii="宋体" w:hAnsi="宋体" w:cs="宋体" w:eastAsia="宋体"/>
                <w:color w:val="000000"/>
                <w:sz w:val="21"/>
              </w:rPr>
              <w:t>建立定期检修保养制度，</w:t>
            </w:r>
            <w:r>
              <w:rPr>
                <w:rFonts w:ascii="宋体" w:hAnsi="宋体" w:cs="宋体" w:eastAsia="宋体"/>
                <w:color w:val="000000"/>
                <w:sz w:val="21"/>
              </w:rPr>
              <w:t>定期或经常性地对项目运行状况进行检测、检查和维护，使项目经常处于正常运转状态。</w:t>
            </w:r>
            <w:r>
              <w:rPr>
                <w:rFonts w:ascii="宋体" w:hAnsi="宋体" w:cs="宋体" w:eastAsia="宋体"/>
                <w:color w:val="000000"/>
                <w:sz w:val="21"/>
              </w:rPr>
              <w:t>对项目设备设施的运行资料进行收集、归类和整理，完善公用设施信息化管理系统，保持设备设施处于良好使用状态，并向实施机构定期提供设备设施运行情况报告。</w:t>
            </w:r>
          </w:p>
          <w:p>
            <w:pPr>
              <w:pStyle w:val="null3"/>
              <w:jc w:val="left"/>
            </w:pPr>
            <w:r>
              <w:rPr>
                <w:rFonts w:ascii="宋体" w:hAnsi="宋体" w:cs="宋体" w:eastAsia="宋体"/>
                <w:color w:val="000000"/>
                <w:sz w:val="21"/>
              </w:rPr>
              <w:t>项目公司</w:t>
            </w:r>
            <w:r>
              <w:rPr>
                <w:rFonts w:ascii="宋体" w:hAnsi="宋体" w:cs="宋体" w:eastAsia="宋体"/>
                <w:color w:val="000000"/>
                <w:sz w:val="21"/>
              </w:rPr>
              <w:t>在日常经营活动中，应充分考虑环境影响，维护生态环境。</w:t>
            </w:r>
            <w:r>
              <w:rPr>
                <w:rFonts w:ascii="宋体" w:hAnsi="宋体" w:cs="宋体" w:eastAsia="宋体"/>
                <w:color w:val="000000"/>
                <w:sz w:val="21"/>
              </w:rPr>
              <w:t>项目公司</w:t>
            </w:r>
            <w:r>
              <w:rPr>
                <w:rFonts w:ascii="宋体" w:hAnsi="宋体" w:cs="宋体" w:eastAsia="宋体"/>
                <w:color w:val="000000"/>
                <w:sz w:val="21"/>
              </w:rPr>
              <w:t>应建立完善安全生产制度和突发事故的应急机制，制定应急预案，并按要求定期进行应急预案演练；</w:t>
            </w:r>
            <w:r>
              <w:rPr>
                <w:rFonts w:ascii="宋体" w:hAnsi="宋体" w:cs="宋体" w:eastAsia="宋体"/>
                <w:color w:val="000000"/>
                <w:sz w:val="21"/>
              </w:rPr>
              <w:t>项目公司</w:t>
            </w:r>
            <w:r>
              <w:rPr>
                <w:rFonts w:ascii="宋体" w:hAnsi="宋体" w:cs="宋体" w:eastAsia="宋体"/>
                <w:color w:val="000000"/>
                <w:sz w:val="21"/>
              </w:rPr>
              <w:t>应保障生产和服务的稳定和安全，防止事故发生。如出现重大突发事故，</w:t>
            </w:r>
            <w:r>
              <w:rPr>
                <w:rFonts w:ascii="宋体" w:hAnsi="宋体" w:cs="宋体" w:eastAsia="宋体"/>
                <w:color w:val="000000"/>
                <w:sz w:val="21"/>
              </w:rPr>
              <w:t>项目公司</w:t>
            </w:r>
            <w:r>
              <w:rPr>
                <w:rFonts w:ascii="宋体" w:hAnsi="宋体" w:cs="宋体" w:eastAsia="宋体"/>
                <w:color w:val="000000"/>
                <w:sz w:val="21"/>
              </w:rPr>
              <w:t>应及时通报实施机构，并尽最大人力、物力进行抢救，尽快恢复生产与服务；在事故影响期间，</w:t>
            </w:r>
            <w:r>
              <w:rPr>
                <w:rFonts w:ascii="宋体" w:hAnsi="宋体" w:cs="宋体" w:eastAsia="宋体"/>
                <w:color w:val="000000"/>
                <w:sz w:val="21"/>
              </w:rPr>
              <w:t>项目公司</w:t>
            </w:r>
            <w:r>
              <w:rPr>
                <w:rFonts w:ascii="宋体" w:hAnsi="宋体" w:cs="宋体" w:eastAsia="宋体"/>
                <w:color w:val="000000"/>
                <w:sz w:val="21"/>
              </w:rPr>
              <w:t>应采取各种应急措施进行补救，尽量减少事故对公众和公共利益的影响。</w:t>
            </w:r>
          </w:p>
        </w:tc>
      </w:tr>
      <w:tr>
        <w:tc>
          <w:tcPr>
            <w:tcW w:type="dxa" w:w="2769"/>
          </w:tcPr>
          <w:p/>
        </w:tc>
        <w:tc>
          <w:tcPr>
            <w:tcW w:type="dxa" w:w="2769"/>
          </w:tcPr>
          <w:p>
            <w:pPr>
              <w:pStyle w:val="null3"/>
            </w:pPr>
            <w:r>
              <w:rPr/>
              <w:t>6</w:t>
            </w:r>
          </w:p>
        </w:tc>
        <w:tc>
          <w:tcPr>
            <w:tcW w:type="dxa" w:w="2769"/>
          </w:tcPr>
          <w:p>
            <w:pPr>
              <w:pStyle w:val="null3"/>
              <w:spacing w:after="165"/>
              <w:jc w:val="both"/>
            </w:pPr>
            <w:r>
              <w:rPr>
                <w:rFonts w:ascii="宋体" w:hAnsi="宋体" w:cs="宋体" w:eastAsia="宋体"/>
                <w:b/>
                <w:color w:val="000000"/>
                <w:sz w:val="21"/>
              </w:rPr>
              <w:t>六、回报机制</w:t>
            </w:r>
          </w:p>
          <w:p>
            <w:pPr>
              <w:pStyle w:val="null3"/>
              <w:jc w:val="left"/>
            </w:pPr>
            <w:r>
              <w:rPr>
                <w:rFonts w:ascii="宋体" w:hAnsi="宋体" w:cs="宋体" w:eastAsia="宋体"/>
                <w:color w:val="000000"/>
                <w:sz w:val="21"/>
              </w:rPr>
              <w:t>使用者付费</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运营补贴。通过向用户收取污水处理服务费和区政府支付的运营补贴（行业补贴）收回成本并获得合理收益。本项目污水处理服务费初始单价</w:t>
            </w:r>
            <w:r>
              <w:rPr>
                <w:rFonts w:ascii="宋体" w:hAnsi="宋体" w:cs="宋体" w:eastAsia="宋体"/>
                <w:color w:val="000000"/>
                <w:sz w:val="21"/>
              </w:rPr>
              <w:t>按本次成交价执行</w:t>
            </w:r>
            <w:r>
              <w:rPr>
                <w:rFonts w:ascii="宋体" w:hAnsi="宋体" w:cs="宋体" w:eastAsia="宋体"/>
                <w:color w:val="000000"/>
                <w:sz w:val="21"/>
              </w:rPr>
              <w:t>。</w:t>
            </w:r>
          </w:p>
        </w:tc>
      </w:tr>
      <w:tr>
        <w:tc>
          <w:tcPr>
            <w:tcW w:type="dxa" w:w="2769"/>
          </w:tcPr>
          <w:p>
            <w:pPr>
              <w:pStyle w:val="null3"/>
            </w:pPr>
            <w:r>
              <w:rPr/>
              <w:t>★</w:t>
            </w:r>
          </w:p>
        </w:tc>
        <w:tc>
          <w:tcPr>
            <w:tcW w:type="dxa" w:w="2769"/>
          </w:tcPr>
          <w:p>
            <w:pPr>
              <w:pStyle w:val="null3"/>
            </w:pPr>
            <w:r>
              <w:rPr/>
              <w:t>7</w:t>
            </w:r>
          </w:p>
        </w:tc>
        <w:tc>
          <w:tcPr>
            <w:tcW w:type="dxa" w:w="2769"/>
          </w:tcPr>
          <w:p>
            <w:pPr>
              <w:pStyle w:val="null3"/>
              <w:spacing w:after="165"/>
              <w:jc w:val="both"/>
            </w:pPr>
            <w:r>
              <w:rPr>
                <w:rFonts w:ascii="宋体" w:hAnsi="宋体" w:cs="宋体" w:eastAsia="宋体"/>
                <w:b/>
                <w:color w:val="000000"/>
                <w:sz w:val="21"/>
              </w:rPr>
              <w:t>七、污水处理服务费的计量和支付</w:t>
            </w:r>
          </w:p>
          <w:p>
            <w:pPr>
              <w:pStyle w:val="null3"/>
              <w:spacing w:after="165"/>
              <w:jc w:val="both"/>
            </w:pPr>
            <w:r>
              <w:rPr>
                <w:rFonts w:ascii="times new roman, times, serif" w:hAnsi="times new roman, times, serif" w:cs="times new roman, times, serif" w:eastAsia="times new roman, times, serif"/>
                <w:b/>
                <w:color w:val="000000"/>
                <w:sz w:val="21"/>
              </w:rPr>
              <w:t>1</w:t>
            </w:r>
            <w:r>
              <w:rPr>
                <w:rFonts w:ascii="宋体" w:hAnsi="宋体" w:cs="宋体" w:eastAsia="宋体"/>
                <w:b/>
                <w:color w:val="000000"/>
                <w:sz w:val="21"/>
              </w:rPr>
              <w:t>、污水处理量的计量</w:t>
            </w:r>
          </w:p>
          <w:p>
            <w:pPr>
              <w:pStyle w:val="null3"/>
              <w:spacing w:after="165"/>
              <w:jc w:val="both"/>
            </w:pPr>
            <w:r>
              <w:rPr>
                <w:rFonts w:ascii="宋体" w:hAnsi="宋体" w:cs="宋体" w:eastAsia="宋体"/>
                <w:color w:val="000000"/>
                <w:sz w:val="21"/>
              </w:rPr>
              <w:t>本项目范围内污水处理量按照经双方共同确认的污水处理厂出水口流量计计量数据计取。</w:t>
            </w:r>
          </w:p>
          <w:p>
            <w:pPr>
              <w:pStyle w:val="null3"/>
              <w:spacing w:after="165"/>
              <w:jc w:val="both"/>
            </w:pPr>
            <w:r>
              <w:rPr>
                <w:rFonts w:ascii="times new roman, times, serif" w:hAnsi="times new roman, times, serif" w:cs="times new roman, times, serif" w:eastAsia="times new roman, times, serif"/>
                <w:b/>
                <w:color w:val="000000"/>
                <w:sz w:val="21"/>
              </w:rPr>
              <w:t>2</w:t>
            </w:r>
            <w:r>
              <w:rPr>
                <w:rFonts w:ascii="宋体" w:hAnsi="宋体" w:cs="宋体" w:eastAsia="宋体"/>
                <w:b/>
                <w:color w:val="000000"/>
                <w:sz w:val="21"/>
              </w:rPr>
              <w:t>、污水处理服务费用的支付</w:t>
            </w:r>
          </w:p>
          <w:p>
            <w:pPr>
              <w:pStyle w:val="null3"/>
              <w:spacing w:after="165"/>
              <w:jc w:val="both"/>
            </w:pPr>
            <w:r>
              <w:rPr>
                <w:rFonts w:ascii="宋体" w:hAnsi="宋体" w:cs="宋体" w:eastAsia="宋体"/>
                <w:color w:val="000000"/>
                <w:sz w:val="21"/>
              </w:rPr>
              <w:t>在污水处理厂出水水质标准达标的前提下，污水处理服务费用按照季度支付，半年度考核。计算公式为：</w:t>
            </w:r>
          </w:p>
          <w:p>
            <w:pPr>
              <w:pStyle w:val="null3"/>
              <w:spacing w:after="165"/>
              <w:jc w:val="both"/>
            </w:pPr>
            <w:r>
              <w:rPr>
                <w:rFonts w:ascii="宋体" w:hAnsi="宋体" w:cs="宋体" w:eastAsia="宋体"/>
                <w:color w:val="000000"/>
                <w:sz w:val="21"/>
              </w:rPr>
              <w:t>当实测出水量</w:t>
            </w:r>
            <w:r>
              <w:rPr>
                <w:rFonts w:ascii="宋体" w:hAnsi="宋体" w:cs="宋体" w:eastAsia="宋体"/>
                <w:color w:val="000000"/>
                <w:sz w:val="21"/>
              </w:rPr>
              <w:t>≦设计规模时，实际污水处理服务费</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污水处理服务费单价×达标出水量×绩效考核系数</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（设计处理规模</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实测出水量）×污水处理服务费单价固定部分×绩效考核系数。</w:t>
            </w:r>
          </w:p>
          <w:p>
            <w:pPr>
              <w:pStyle w:val="null3"/>
              <w:spacing w:after="165"/>
              <w:jc w:val="both"/>
            </w:pPr>
            <w:r>
              <w:rPr>
                <w:rFonts w:ascii="宋体" w:hAnsi="宋体" w:cs="宋体" w:eastAsia="宋体"/>
                <w:color w:val="000000"/>
                <w:sz w:val="21"/>
              </w:rPr>
              <w:t>达标出水量</w:t>
            </w:r>
            <w:r>
              <w:rPr>
                <w:rFonts w:ascii="times new roman, times, serif" w:hAnsi="times new roman, times, serif" w:cs="times new roman, times, serif" w:eastAsia="times new roman, times, serif"/>
                <w:color w:val="000000"/>
                <w:sz w:val="21"/>
              </w:rPr>
              <w:t>&gt;</w:t>
            </w:r>
            <w:r>
              <w:rPr>
                <w:rFonts w:ascii="宋体" w:hAnsi="宋体" w:cs="宋体" w:eastAsia="宋体"/>
                <w:color w:val="000000"/>
                <w:sz w:val="21"/>
              </w:rPr>
              <w:t>设计规模时，实际污水处理服务费</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污水处理服务费单价×设计规模×绩效考核系数</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（达标出水量</w:t>
            </w:r>
            <w:r>
              <w:rPr>
                <w:rFonts w:ascii="times new roman, times, serif" w:hAnsi="times new roman, times, serif" w:cs="times new roman, times, serif" w:eastAsia="times new roman, times, serif"/>
                <w:color w:val="000000"/>
                <w:sz w:val="21"/>
              </w:rPr>
              <w:t>-</w:t>
            </w:r>
            <w:r>
              <w:rPr>
                <w:rFonts w:ascii="宋体" w:hAnsi="宋体" w:cs="宋体" w:eastAsia="宋体"/>
                <w:color w:val="000000"/>
                <w:sz w:val="21"/>
              </w:rPr>
              <w:t>设计处理规模）×污水处理服务费单价变动部分×绩效考核系数。</w:t>
            </w:r>
          </w:p>
          <w:p>
            <w:pPr>
              <w:pStyle w:val="null3"/>
              <w:jc w:val="left"/>
            </w:pPr>
            <w:r>
              <w:rPr>
                <w:rFonts w:ascii="宋体" w:hAnsi="宋体" w:cs="宋体" w:eastAsia="宋体"/>
                <w:color w:val="000000"/>
                <w:sz w:val="21"/>
              </w:rPr>
              <w:t>其中，污水处理服务费初始单价以</w:t>
            </w:r>
            <w:r>
              <w:rPr>
                <w:rFonts w:ascii="宋体" w:hAnsi="宋体" w:cs="宋体" w:eastAsia="宋体"/>
                <w:color w:val="000000"/>
                <w:sz w:val="21"/>
              </w:rPr>
              <w:t>成交价为准，</w:t>
            </w:r>
            <w:r>
              <w:rPr>
                <w:rFonts w:ascii="宋体" w:hAnsi="宋体" w:cs="宋体" w:eastAsia="宋体"/>
                <w:color w:val="000000"/>
                <w:sz w:val="21"/>
              </w:rPr>
              <w:t>污水处理服务费单价</w:t>
            </w:r>
            <w:r>
              <w:rPr>
                <w:rFonts w:ascii="宋体" w:hAnsi="宋体" w:cs="宋体" w:eastAsia="宋体"/>
                <w:color w:val="000000"/>
                <w:sz w:val="21"/>
              </w:rPr>
              <w:t>固定部分为污水处理服务费单价的</w:t>
            </w:r>
            <w:r>
              <w:rPr>
                <w:rFonts w:ascii="times new roman, times, serif" w:hAnsi="times new roman, times, serif" w:cs="times new roman, times, serif" w:eastAsia="times new roman, times, serif"/>
                <w:color w:val="000000"/>
                <w:sz w:val="21"/>
              </w:rPr>
              <w:t>62%</w:t>
            </w:r>
            <w:r>
              <w:rPr>
                <w:rFonts w:ascii="宋体" w:hAnsi="宋体" w:cs="宋体" w:eastAsia="宋体"/>
                <w:color w:val="000000"/>
                <w:sz w:val="21"/>
              </w:rPr>
              <w:t>，污水处理服务费单价变动部分</w:t>
            </w:r>
            <w:r>
              <w:rPr>
                <w:rFonts w:ascii="宋体" w:hAnsi="宋体" w:cs="宋体" w:eastAsia="宋体"/>
                <w:color w:val="000000"/>
                <w:sz w:val="21"/>
              </w:rPr>
              <w:t>为污水处理服务费单价的</w:t>
            </w:r>
            <w:r>
              <w:rPr>
                <w:rFonts w:ascii="times new roman, times, serif" w:hAnsi="times new roman, times, serif" w:cs="times new roman, times, serif" w:eastAsia="times new roman, times, serif"/>
                <w:color w:val="000000"/>
                <w:sz w:val="21"/>
              </w:rPr>
              <w:t>38%</w:t>
            </w:r>
            <w:r>
              <w:rPr>
                <w:rFonts w:ascii="宋体" w:hAnsi="宋体" w:cs="宋体" w:eastAsia="宋体"/>
                <w:color w:val="000000"/>
                <w:sz w:val="21"/>
              </w:rPr>
              <w:t>，固定部分和变动部分构成当期污水处理服务费单价。</w:t>
            </w:r>
          </w:p>
        </w:tc>
      </w:tr>
      <w:tr>
        <w:tc>
          <w:tcPr>
            <w:tcW w:type="dxa" w:w="2769"/>
          </w:tcPr>
          <w:p>
            <w:pPr>
              <w:pStyle w:val="null3"/>
            </w:pPr>
            <w:r>
              <w:rPr/>
              <w:t>★</w:t>
            </w:r>
          </w:p>
        </w:tc>
        <w:tc>
          <w:tcPr>
            <w:tcW w:type="dxa" w:w="2769"/>
          </w:tcPr>
          <w:p>
            <w:pPr>
              <w:pStyle w:val="null3"/>
            </w:pPr>
            <w:r>
              <w:rPr/>
              <w:t>8</w:t>
            </w:r>
          </w:p>
        </w:tc>
        <w:tc>
          <w:tcPr>
            <w:tcW w:type="dxa" w:w="2769"/>
          </w:tcPr>
          <w:p>
            <w:pPr>
              <w:pStyle w:val="null3"/>
              <w:spacing w:after="165"/>
              <w:jc w:val="both"/>
            </w:pPr>
            <w:r>
              <w:rPr>
                <w:rFonts w:ascii="宋体" w:hAnsi="宋体" w:cs="宋体" w:eastAsia="宋体"/>
                <w:b/>
                <w:color w:val="000000"/>
                <w:sz w:val="21"/>
              </w:rPr>
              <w:t>八、人员安置</w:t>
            </w:r>
          </w:p>
          <w:p>
            <w:pPr>
              <w:pStyle w:val="null3"/>
              <w:jc w:val="left"/>
            </w:pPr>
            <w:r>
              <w:rPr>
                <w:rFonts w:ascii="宋体" w:hAnsi="宋体" w:cs="宋体" w:eastAsia="宋体"/>
                <w:color w:val="000000"/>
                <w:sz w:val="21"/>
              </w:rPr>
              <w:t>目前一污现有在职职工（</w:t>
            </w:r>
            <w:r>
              <w:rPr>
                <w:rFonts w:ascii="times new roman, times, serif" w:hAnsi="times new roman, times, serif" w:cs="times new roman, times, serif" w:eastAsia="times new roman, times, serif"/>
                <w:color w:val="000000"/>
                <w:sz w:val="21"/>
              </w:rPr>
              <w:t>34</w:t>
            </w:r>
            <w:r>
              <w:rPr>
                <w:rFonts w:ascii="宋体" w:hAnsi="宋体" w:cs="宋体" w:eastAsia="宋体"/>
                <w:color w:val="000000"/>
                <w:sz w:val="21"/>
              </w:rPr>
              <w:t>人，最终</w:t>
            </w:r>
            <w:r>
              <w:rPr>
                <w:rFonts w:ascii="宋体" w:hAnsi="宋体" w:cs="宋体" w:eastAsia="宋体"/>
                <w:color w:val="000000"/>
                <w:sz w:val="21"/>
              </w:rPr>
              <w:t>以人员花名册为准</w:t>
            </w:r>
            <w:r>
              <w:rPr>
                <w:rFonts w:ascii="宋体" w:hAnsi="宋体" w:cs="宋体" w:eastAsia="宋体"/>
                <w:color w:val="000000"/>
                <w:sz w:val="21"/>
              </w:rPr>
              <w:t>）原则上由项目公司全部接收，接收的职工需通过入职健康体检和岗位考核，由项目公司与满足上述条件的职工签署劳动合同。项目公司所接收现有在职人员的年平均工资福利不低于现行工资福利水平</w:t>
            </w:r>
          </w:p>
        </w:tc>
      </w:tr>
      <w:tr>
        <w:tc>
          <w:tcPr>
            <w:tcW w:type="dxa" w:w="2769"/>
          </w:tcPr>
          <w:p>
            <w:pPr>
              <w:pStyle w:val="null3"/>
            </w:pPr>
            <w:r>
              <w:rPr/>
              <w:t>★</w:t>
            </w:r>
          </w:p>
        </w:tc>
        <w:tc>
          <w:tcPr>
            <w:tcW w:type="dxa" w:w="2769"/>
          </w:tcPr>
          <w:p>
            <w:pPr>
              <w:pStyle w:val="null3"/>
            </w:pPr>
            <w:r>
              <w:rPr/>
              <w:t>9</w:t>
            </w:r>
          </w:p>
        </w:tc>
        <w:tc>
          <w:tcPr>
            <w:tcW w:type="dxa" w:w="2769"/>
          </w:tcPr>
          <w:p>
            <w:pPr>
              <w:pStyle w:val="null3"/>
              <w:spacing w:after="165"/>
              <w:jc w:val="both"/>
            </w:pPr>
            <w:r>
              <w:rPr>
                <w:rFonts w:ascii="宋体" w:hAnsi="宋体" w:cs="宋体" w:eastAsia="宋体"/>
                <w:b/>
                <w:color w:val="000000"/>
                <w:sz w:val="21"/>
              </w:rPr>
              <w:t>九、资产清单及交接</w:t>
            </w:r>
          </w:p>
          <w:p>
            <w:pPr>
              <w:pStyle w:val="null3"/>
              <w:spacing w:after="165"/>
              <w:jc w:val="both"/>
            </w:pPr>
            <w:r>
              <w:rPr>
                <w:rFonts w:ascii="宋体" w:hAnsi="宋体" w:cs="宋体" w:eastAsia="宋体"/>
                <w:color w:val="000000"/>
                <w:sz w:val="21"/>
              </w:rPr>
              <w:t>资产</w:t>
            </w:r>
            <w:r>
              <w:rPr>
                <w:rFonts w:ascii="宋体" w:hAnsi="宋体" w:cs="宋体" w:eastAsia="宋体"/>
                <w:color w:val="000000"/>
                <w:sz w:val="21"/>
              </w:rPr>
              <w:t>交接</w:t>
            </w:r>
            <w:r>
              <w:rPr>
                <w:rFonts w:ascii="宋体" w:hAnsi="宋体" w:cs="宋体" w:eastAsia="宋体"/>
                <w:color w:val="000000"/>
                <w:sz w:val="21"/>
              </w:rPr>
              <w:t>按</w:t>
            </w:r>
            <w:r>
              <w:rPr>
                <w:rFonts w:ascii="宋体" w:hAnsi="宋体" w:cs="宋体" w:eastAsia="宋体"/>
                <w:color w:val="000000"/>
                <w:sz w:val="21"/>
              </w:rPr>
              <w:t>现状</w:t>
            </w:r>
            <w:r>
              <w:rPr>
                <w:rFonts w:ascii="宋体" w:hAnsi="宋体" w:cs="宋体" w:eastAsia="宋体"/>
                <w:color w:val="000000"/>
                <w:sz w:val="21"/>
              </w:rPr>
              <w:t>交接，</w:t>
            </w:r>
            <w:r>
              <w:rPr>
                <w:rFonts w:ascii="宋体" w:hAnsi="宋体" w:cs="宋体" w:eastAsia="宋体"/>
                <w:color w:val="000000"/>
                <w:sz w:val="21"/>
              </w:rPr>
              <w:t>资产</w:t>
            </w:r>
            <w:r>
              <w:rPr>
                <w:rFonts w:ascii="宋体" w:hAnsi="宋体" w:cs="宋体" w:eastAsia="宋体"/>
                <w:color w:val="000000"/>
                <w:sz w:val="21"/>
              </w:rPr>
              <w:t>清单</w:t>
            </w:r>
            <w:r>
              <w:rPr>
                <w:rFonts w:ascii="宋体" w:hAnsi="宋体" w:cs="宋体" w:eastAsia="宋体"/>
                <w:color w:val="000000"/>
                <w:sz w:val="21"/>
              </w:rPr>
              <w:t>详见附件。</w:t>
            </w:r>
          </w:p>
          <w:p>
            <w:pPr>
              <w:pStyle w:val="null3"/>
              <w:jc w:val="left"/>
            </w:pPr>
          </w:p>
        </w:tc>
      </w:tr>
    </w:tbl>
    <w:p>
      <w:pPr>
        <w:pStyle w:val="null3"/>
        <w:outlineLvl w:val="2"/>
      </w:pPr>
      <w:r>
        <w:rPr>
          <w:b/>
          <w:sz w:val="28"/>
        </w:rPr>
        <w:t>3.2.3人员配置要求</w:t>
      </w:r>
    </w:p>
    <w:p>
      <w:pPr>
        <w:pStyle w:val="null3"/>
      </w:pPr>
      <w:r>
        <w:rPr/>
        <w:t>采购包1：</w:t>
      </w:r>
    </w:p>
    <w:p>
      <w:pPr>
        <w:pStyle w:val="null3"/>
      </w:pPr>
      <w:r>
        <w:rPr/>
        <w:t>目前一污现有在职职工（34人，最终以人员花名册为准）原则上由项目公司全部接收，接收的职工需通过入职健康体检和岗位考核，由项目公司与满足上述条件的职工签署劳动合同。项目公司所接收现有在职人员的年平均工资福利不低于现行工资福利水平。 投标人运营团队主要人员须具有本项目实施相关能力，应保证在项目实施全过程中全面配合采购人，确保运营期内项目的稳定运营且达到采购人要求。</w:t>
      </w:r>
    </w:p>
    <w:p>
      <w:pPr>
        <w:pStyle w:val="null3"/>
        <w:outlineLvl w:val="2"/>
      </w:pPr>
      <w:r>
        <w:rPr>
          <w:b/>
          <w:sz w:val="28"/>
        </w:rPr>
        <w:t>3.2.4设施设备要求</w:t>
      </w:r>
    </w:p>
    <w:p>
      <w:pPr>
        <w:pStyle w:val="null3"/>
      </w:pPr>
      <w:r>
        <w:rPr/>
        <w:t>采购包1：</w:t>
      </w:r>
    </w:p>
    <w:p>
      <w:pPr>
        <w:pStyle w:val="null3"/>
      </w:pPr>
      <w:r>
        <w:rPr/>
        <w:t>无。</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本项目特许经营期限为30年。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按照《特许经营协议》相关约定执行。</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采购包1：按照《特许经营协议》执行</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按照竞争性磋商文件、《投资合作协议》及《特许经营协议》规定执行。</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完整财务报告（财务报告需包含资产负债表、利润表、现金流表、所有者权益变动表和财务报表附注；成立时间至提交响应文件截止时间不足一年的可提供成立后任意时段的资产负债表、利润表、现金流表）或其开标前三个月内基本开户银行出具的资信证明及其基本存款账户开户许可证（无基本存款账户开户许可证可提供其基本存款账户信息证明）（以上两种形式的资料提供任何一种即可）。上述材料须加盖供应商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具有独立承担民事责任能力的法人、其他组织或自然人，并出具合法有效的营业执照或事业单位法人证书等国家规定的相关证明，自然人参与的提供其身份证明。上述材料须加盖供应商电子签章。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完整财务报告（财务报告需包含资产负债表、利润表、现金流表、所有者权益变动表和财务报表附注；成立时间至提交响应文件截止时间不足一年的可提供成立后任意时段的资产负债表、利润表、现金流表）或其开标前三个月内基本开户银行出具的资信证明及其基本存款账户开户许可证（无基本存款账户开户许可证可提供其基本存款账户信息证明）（以上两种形式的资料提供任何一种即可）。上述材料须加盖供应商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至今已缴存的至少一个月的依法缴纳税款的相关凭据（时间以税款所属日期为准、税种须包含增值税或企业所得税）。依法免税或无须缴纳税款的供应商，应提供相应证明文件。上述材料须加盖供应商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提供2023年6月至今已缴存任意一个月社会保障资金缴存单据或社保机构开具的社会保险参保缴费证明，依法不需要缴纳社会保障资金的单位应提供相应证明文件。上述材料须加盖供应商电子签章。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履约承诺</w:t>
            </w:r>
          </w:p>
        </w:tc>
        <w:tc>
          <w:tcPr>
            <w:tcW w:type="dxa" w:w="3322"/>
          </w:tcPr>
          <w:p>
            <w:pPr>
              <w:pStyle w:val="null3"/>
            </w:pPr>
            <w:r>
              <w:rPr/>
              <w:t>具备履行合同所必需的设备和专业技术能力的证明材料或书面声明。上述材料须加盖供应商电子签章。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参加政府采购活动前三年内在经营活动中没有重大违法记录的书面声明。上述材料须加盖供应商电子签章。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企业信誉截图</w:t>
            </w:r>
          </w:p>
        </w:tc>
        <w:tc>
          <w:tcPr>
            <w:tcW w:type="dxa" w:w="3322"/>
          </w:tcPr>
          <w:p>
            <w:pPr>
              <w:pStyle w:val="null3"/>
            </w:pPr>
            <w:r>
              <w:rPr/>
              <w:t>供应商不得为中国执行信息公开网（http：//zxgk.court.gov.cn/shixin/）中列入“失信被执行人”及“信用中国”网站（https：//www.creditchina.gov.cn/）中列入“重大税收违法失信主体”当事人名单的供应商，不得为中国政府采购网（https：//www.ccgp.gov.cn/）政府采购“严重违法失信行为记录名单”中被财政部门禁止参加政府采购活动的供应商。上述材料须加盖供应商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提供法定代表人授权书（附法定代表人、被授权人身份证复印件），法定代表人直接参加投标，须提供法定代表人身份证明及身份证复印件）。</w:t>
            </w:r>
          </w:p>
        </w:tc>
        <w:tc>
          <w:tcPr>
            <w:tcW w:type="dxa" w:w="1661"/>
          </w:tcPr>
          <w:p>
            <w:pPr>
              <w:pStyle w:val="null3"/>
            </w:pPr>
            <w:r>
              <w:rPr/>
              <w:t>授权委托书或法定代表人身份证明</w:t>
            </w:r>
          </w:p>
        </w:tc>
      </w:tr>
      <w:tr>
        <w:tc>
          <w:tcPr>
            <w:tcW w:type="dxa" w:w="831"/>
          </w:tcPr>
          <w:p>
            <w:pPr>
              <w:pStyle w:val="null3"/>
            </w:pPr>
            <w:r>
              <w:rPr/>
              <w:t>9</w:t>
            </w:r>
          </w:p>
        </w:tc>
        <w:tc>
          <w:tcPr>
            <w:tcW w:type="dxa" w:w="2492"/>
          </w:tcPr>
          <w:p>
            <w:pPr>
              <w:pStyle w:val="null3"/>
            </w:pPr>
            <w:r>
              <w:rPr/>
              <w:t>非联合体声明</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法定代表人或其授权代表人的签字齐全并加盖公章。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按磋商文件要求报价，不得提交选择性报价，且每轮报价不超过采购预算金额或最高限价。</w:t>
            </w:r>
          </w:p>
        </w:tc>
        <w:tc>
          <w:tcPr>
            <w:tcW w:type="dxa" w:w="1661"/>
          </w:tcPr>
          <w:p>
            <w:pPr>
              <w:pStyle w:val="null3"/>
            </w:pPr>
            <w:r>
              <w:rPr/>
              <w:t>报价表</w:t>
            </w:r>
          </w:p>
        </w:tc>
      </w:tr>
      <w:tr>
        <w:tc>
          <w:tcPr>
            <w:tcW w:type="dxa" w:w="831"/>
          </w:tcPr>
          <w:p>
            <w:pPr>
              <w:pStyle w:val="null3"/>
            </w:pPr>
            <w:r>
              <w:rPr/>
              <w:t>4</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服务内容及服务邀请应答表 商务应答表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服务内容及服务邀请应答表 商务应答表</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不存在法律、法规和招标文件规定的其他无效投标情形。</w:t>
            </w:r>
          </w:p>
        </w:tc>
        <w:tc>
          <w:tcPr>
            <w:tcW w:type="dxa" w:w="1661"/>
          </w:tcPr>
          <w:p>
            <w:pPr>
              <w:pStyle w:val="null3"/>
            </w:pPr>
            <w:r>
              <w:rPr/>
              <w:t>服务内容及服务邀请应答表 中小企业声明函 残疾人福利性单位声明函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项目总体实施方案</w:t>
            </w:r>
          </w:p>
        </w:tc>
        <w:tc>
          <w:tcPr>
            <w:tcW w:type="dxa" w:w="2492"/>
          </w:tcPr>
          <w:p>
            <w:pPr>
              <w:pStyle w:val="null3"/>
            </w:pPr>
            <w:r>
              <w:rPr/>
              <w:t>项目总体实施方案综合评价项目实施总体思路，对本项目的理解及重点难点分析，项目的风险分析和相应的处理及保证措施等。 1.方案内容丰富、科学、合理，完全满足采购需求的得7.6-15分； 2.方案内容一般、能基本满足采购需求的得0-7.5分； 3.方案不能满足采购需求的不得分。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项目公司组建方案</w:t>
            </w:r>
          </w:p>
        </w:tc>
        <w:tc>
          <w:tcPr>
            <w:tcW w:type="dxa" w:w="2492"/>
          </w:tcPr>
          <w:p>
            <w:pPr>
              <w:pStyle w:val="null3"/>
            </w:pPr>
            <w:r>
              <w:rPr/>
              <w:t>根据项目公司组建方案（设立方案、法人治理结构方案、经营组织架构、部门分工及主要职责方案、公司主要制度）的完整性、合理性、可行性进行综合评审。 1.方案内容丰富、科学、合理，完全满足采购需求的得2.6-5分； 2.方案内容一般、能基本满足采购需求的得0-2.5分； 3.方案不能满足采购需求的不得分。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投融资方案</w:t>
            </w:r>
          </w:p>
        </w:tc>
        <w:tc>
          <w:tcPr>
            <w:tcW w:type="dxa" w:w="2492"/>
          </w:tcPr>
          <w:p>
            <w:pPr>
              <w:pStyle w:val="null3"/>
            </w:pPr>
            <w:r>
              <w:rPr/>
              <w:t>投融资方案综合评价，融资成本高低、资金到位时间及资金使用计划、融资额度能否满足项目需要，资本金筹措方案及保障措施、融资资金筹措方案及保障措施等。 1.方案内容丰富、科学、合理，完全满足采购需求的得2.6-5分； 2.方案内容一般、能基本满足采购需求的得0-2.5分； 3.方案不能满足采购需求的不得分。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运营管理方案</w:t>
            </w:r>
          </w:p>
        </w:tc>
        <w:tc>
          <w:tcPr>
            <w:tcW w:type="dxa" w:w="2492"/>
          </w:tcPr>
          <w:p>
            <w:pPr>
              <w:pStyle w:val="null3"/>
            </w:pPr>
            <w:r>
              <w:rPr/>
              <w:t>根据运营管理方案（包括但不限于污水处理厂运维方案、水质检测方案及进出水超标应对方案等）、成本控制方案、设备设施维护检修方案等内容的完整性、合理性、可行性进行综合评审。 1.方案内容丰富、科学、合理，完全满足采购需求的得10.1-20分； 2.方案内容一般、能基本满足采购需求的得0-10分； 3.方案不能满足采购需求的不得分。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安全生产管理方案</w:t>
            </w:r>
          </w:p>
        </w:tc>
        <w:tc>
          <w:tcPr>
            <w:tcW w:type="dxa" w:w="2492"/>
          </w:tcPr>
          <w:p>
            <w:pPr>
              <w:pStyle w:val="null3"/>
            </w:pPr>
            <w:r>
              <w:rPr/>
              <w:t>安全生产管理方案综合评价安全生产组织体系、安全责任制；安全生产教育、培训、演练；安全隐患排查治理，安全管理措施，安全用具配备等。根据安全生产管理方案的完整性、合理性、可行作性进行综合评审。 1.方案内容丰富、科学、合理，完全满足采购需求的得5.1-10分； 2.方案内容一般、能基本满足采购需求的得0-5分； 3.方案不能满足采购需求的不得分。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人员接收方案</w:t>
            </w:r>
          </w:p>
        </w:tc>
        <w:tc>
          <w:tcPr>
            <w:tcW w:type="dxa" w:w="2492"/>
          </w:tcPr>
          <w:p>
            <w:pPr>
              <w:pStyle w:val="null3"/>
            </w:pPr>
            <w:r>
              <w:rPr/>
              <w:t>对项目污水厂现有人员数量、专业、能力、人力资源状况等进行分析，编制人员接收方案，保障人员稳定平稳过渡。运营管理团队专业配备齐全，工种和人员数量安排充足，完全满足运营需要。根据人员接收方案的完整性、合理性、可行作性进行综合评审。 1.方案内容丰富、科学、合理，完全满足采购需求的得2.6-5分； 2.方案内容一般、能基本满足采购需求的0-2.5分； 3.方案不能满足采购需求的不得分。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移交方案</w:t>
            </w:r>
          </w:p>
        </w:tc>
        <w:tc>
          <w:tcPr>
            <w:tcW w:type="dxa" w:w="2492"/>
          </w:tcPr>
          <w:p>
            <w:pPr>
              <w:pStyle w:val="null3"/>
            </w:pPr>
            <w:r>
              <w:rPr/>
              <w:t>包括项目运营期满后，移交前恢复大修方案是否科学合理，是否可操作性强、性能保证值高等内容进行综合评审。 1.方案内容丰富、科学、合理，完全满足采购需求的得2.6-5分； 2.方案内容一般、能基本满足采购需求的0-2.5分； 3.方案不能满足采购需求的不得分。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公司业绩</w:t>
            </w:r>
          </w:p>
        </w:tc>
        <w:tc>
          <w:tcPr>
            <w:tcW w:type="dxa" w:w="2492"/>
          </w:tcPr>
          <w:p>
            <w:pPr>
              <w:pStyle w:val="null3"/>
            </w:pPr>
            <w:r>
              <w:rPr/>
              <w:t>供应商具有1个生活污水处理项目运营业绩，每提供一个得3分。本项最高得18分； 注:1.上述业绩以可以体现项目服务内容的合同协议书或由发包人或业主单位出具的业绩证明为准； 2.供应商以母公司投标的，其合并报表的子公司的业绩也可计分，但须提供经审计的2022年度财务报告等相关证明材料； 3.单位名称发生变更的须提供有效的企业变更批件，否则其业绩不予认定。 4.业绩证明材料须加盖供应商电子签章，否则其业绩不予认定。</w:t>
            </w:r>
          </w:p>
        </w:tc>
        <w:tc>
          <w:tcPr>
            <w:tcW w:type="dxa" w:w="831"/>
          </w:tcPr>
          <w:p>
            <w:pPr>
              <w:pStyle w:val="null3"/>
              <w:jc w:val="right"/>
            </w:pPr>
            <w:r>
              <w:rPr/>
              <w:t>18.00</w:t>
            </w:r>
          </w:p>
        </w:tc>
        <w:tc>
          <w:tcPr>
            <w:tcW w:type="dxa" w:w="831"/>
          </w:tcPr>
          <w:p>
            <w:pPr>
              <w:pStyle w:val="null3"/>
            </w:pPr>
            <w:r>
              <w:rPr/>
              <w:t>客观</w:t>
            </w:r>
          </w:p>
        </w:tc>
        <w:tc>
          <w:tcPr>
            <w:tcW w:type="dxa" w:w="1661"/>
          </w:tcPr>
          <w:p>
            <w:pPr>
              <w:pStyle w:val="null3"/>
            </w:pPr>
            <w:r>
              <w:rPr/>
              <w:t>类似业绩</w:t>
            </w:r>
          </w:p>
        </w:tc>
      </w:tr>
      <w:tr>
        <w:tc>
          <w:tcPr>
            <w:tcW w:type="dxa" w:w="831"/>
            <w:vMerge/>
          </w:tcPr>
          <w:p/>
        </w:tc>
        <w:tc>
          <w:tcPr>
            <w:tcW w:type="dxa" w:w="1661"/>
          </w:tcPr>
          <w:p>
            <w:pPr>
              <w:pStyle w:val="null3"/>
            </w:pPr>
            <w:r>
              <w:rPr/>
              <w:t>财务状况</w:t>
            </w:r>
          </w:p>
        </w:tc>
        <w:tc>
          <w:tcPr>
            <w:tcW w:type="dxa" w:w="2492"/>
          </w:tcPr>
          <w:p>
            <w:pPr>
              <w:pStyle w:val="null3"/>
            </w:pPr>
            <w:r>
              <w:rPr/>
              <w:t>1.供应商2022年年末资产负债率低于50%（含），得4分； 2.大于50%且小于60%（含）的，得2分；大于60%且小于70%（含）的，得1分； 3.大于70%的，不得分。 注：1.资产负债率以经审计的2022年度财务报告为准，若供应商成立时间至提交响应文件截止时间不足一年以提供磋商截至前一月的资产负债表为准。 2.上述材料须加盖供应商电子签章。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供应商应提交的相关资格证明材料</w:t>
            </w:r>
          </w:p>
        </w:tc>
      </w:tr>
      <w:tr>
        <w:tc>
          <w:tcPr>
            <w:tcW w:type="dxa" w:w="831"/>
            <w:vMerge/>
          </w:tcPr>
          <w:p/>
        </w:tc>
        <w:tc>
          <w:tcPr>
            <w:tcW w:type="dxa" w:w="1661"/>
          </w:tcPr>
          <w:p>
            <w:pPr>
              <w:pStyle w:val="null3"/>
            </w:pPr>
            <w:r>
              <w:rPr/>
              <w:t>管理体系认证</w:t>
            </w:r>
          </w:p>
        </w:tc>
        <w:tc>
          <w:tcPr>
            <w:tcW w:type="dxa" w:w="2492"/>
          </w:tcPr>
          <w:p>
            <w:pPr>
              <w:pStyle w:val="null3"/>
            </w:pPr>
            <w:r>
              <w:rPr/>
              <w:t>供应商的具有有效的质量管理体系认证、环境管理体系认证、职业健康安全管理体系认证，每提供一个认证得1分，本项最高得3分。上述材料须加盖供应商电子签章，否则不予认定。</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供应商认为应提交的其他材料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详见附件：授权委托书或法定代表人身份证明</w:t>
      </w:r>
    </w:p>
    <w:p>
      <w:pPr>
        <w:pStyle w:val="null3"/>
        <w:ind w:firstLine="960"/>
      </w:pPr>
      <w:r>
        <w:rPr/>
        <w:t>详见附件：供应商应提交的相关资格证明材料</w:t>
      </w:r>
    </w:p>
    <w:p>
      <w:pPr>
        <w:pStyle w:val="null3"/>
        <w:ind w:firstLine="960"/>
      </w:pPr>
      <w:r>
        <w:rPr/>
        <w:t>详见附件：类似业绩</w:t>
      </w:r>
    </w:p>
    <w:p>
      <w:pPr>
        <w:pStyle w:val="null3"/>
        <w:ind w:firstLine="960"/>
      </w:pPr>
      <w:r>
        <w:rPr/>
        <w:t>详见附件：供应商认为应提交的其他材料</w:t>
      </w:r>
    </w:p>
    <w:p>
      <w:pPr>
        <w:pStyle w:val="null3"/>
      </w:pPr>
      <w:r>
        <w:rPr/>
        <w:t xml:space="preserve"> </w:t>
      </w:r>
    </w:p>
    <w:p>
      <w:pPr>
        <w:pStyle w:val="null3"/>
        <w:jc w:val="center"/>
        <w:outlineLvl w:val="1"/>
      </w:pPr>
      <w:r>
        <w:rPr>
          <w:b/>
          <w:sz w:val="36"/>
        </w:rPr>
        <w:t>第八章 拟签订采购合同文本</w:t>
      </w:r>
    </w:p>
    <w:p>
      <w:pPr>
        <w:pStyle w:val="null3"/>
      </w:pPr>
      <w:r>
        <w:rPr/>
        <w:t>详见附件：西安市鄠邑区第一污水处理厂特许经营项目-投资合作协议及特许经营协议.docx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