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版本号：ZHPM-ZC-2530520250221001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广济镇农业产业强镇建设项目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ZHPM-ZC-25305</w:t>
      </w:r>
      <w:r>
        <w:br/>
      </w:r>
      <w:r>
        <w:br/>
      </w:r>
      <w:r>
        <w:br/>
      </w:r>
    </w:p>
    <w:p>
      <w:pPr>
        <w:pStyle w:val="null3"/>
        <w:jc w:val="center"/>
        <w:outlineLvl w:val="2"/>
      </w:pPr>
      <w:r>
        <w:rPr>
          <w:rFonts w:ascii="仿宋_GB2312" w:hAnsi="仿宋_GB2312" w:cs="仿宋_GB2312" w:eastAsia="仿宋_GB2312"/>
          <w:sz w:val="28"/>
          <w:b/>
        </w:rPr>
        <w:t>周至县广济镇人民政府</w:t>
      </w:r>
    </w:p>
    <w:p>
      <w:pPr>
        <w:pStyle w:val="null3"/>
        <w:jc w:val="center"/>
        <w:outlineLvl w:val="2"/>
      </w:pPr>
      <w:r>
        <w:rPr>
          <w:rFonts w:ascii="仿宋_GB2312" w:hAnsi="仿宋_GB2312" w:cs="仿宋_GB2312" w:eastAsia="仿宋_GB2312"/>
          <w:sz w:val="28"/>
          <w:b/>
        </w:rPr>
        <w:t>中昊项目管理有限公司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中昊项目管理有限公司</w:t>
      </w:r>
      <w:r>
        <w:rPr>
          <w:rFonts w:ascii="仿宋_GB2312" w:hAnsi="仿宋_GB2312" w:cs="仿宋_GB2312" w:eastAsia="仿宋_GB2312"/>
        </w:rPr>
        <w:t>（以下简称“代理机构”）受</w:t>
      </w:r>
      <w:r>
        <w:rPr>
          <w:rFonts w:ascii="仿宋_GB2312" w:hAnsi="仿宋_GB2312" w:cs="仿宋_GB2312" w:eastAsia="仿宋_GB2312"/>
        </w:rPr>
        <w:t>周至县广济镇人民政府</w:t>
      </w:r>
      <w:r>
        <w:rPr>
          <w:rFonts w:ascii="仿宋_GB2312" w:hAnsi="仿宋_GB2312" w:cs="仿宋_GB2312" w:eastAsia="仿宋_GB2312"/>
        </w:rPr>
        <w:t>委托，拟对</w:t>
      </w:r>
      <w:r>
        <w:rPr>
          <w:rFonts w:ascii="仿宋_GB2312" w:hAnsi="仿宋_GB2312" w:cs="仿宋_GB2312" w:eastAsia="仿宋_GB2312"/>
        </w:rPr>
        <w:t>广济镇农业产业强镇建设项目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ZHPM-ZC-25305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广济镇农业产业强镇建设项目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1.新建钢结构大棚两层，总计243㎡。2.新建 60 吨保鲜冷库1间:3.购置木质托盘 100个:购置果品周转箱2000个:购置安装高性能单通道猕猴桃分拣线1条。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采购包1（周至县广济镇农业产业强镇建设项目）：属于专门面向中小企业采购。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1、供应商身份证明：供应商须具备独立承担民事责任能力的法人、其他组织或自然人，提供营业执照/事业单位法人证书/非企业专业服务机构执业许可证/自然人身份证；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2、法定代表人证明书或法定代表人授权书：具有合格有效的法定代表人授权书及被授权人身份证明（法定代表人直接参加磋商的须提供法定代表人证明书及其身份证明）</w:t>
      </w:r>
    </w:p>
    <w:p>
      <w:pPr>
        <w:pStyle w:val="null3"/>
      </w:pPr>
      <w:r>
        <w:rPr>
          <w:rFonts w:ascii="仿宋_GB2312" w:hAnsi="仿宋_GB2312" w:cs="仿宋_GB2312" w:eastAsia="仿宋_GB2312"/>
        </w:rPr>
        <w:t>3、资信证明：提供2023年度或2024年度经审计的财务报告；或在开标日期前六个月内其基本开户银行出具的资信证明；（以上两种形式的资料提供任何一种即可）</w:t>
      </w:r>
    </w:p>
    <w:p>
      <w:pPr>
        <w:pStyle w:val="null3"/>
      </w:pPr>
      <w:r>
        <w:rPr>
          <w:rFonts w:ascii="仿宋_GB2312" w:hAnsi="仿宋_GB2312" w:cs="仿宋_GB2312" w:eastAsia="仿宋_GB2312"/>
        </w:rPr>
        <w:t>4、依法缴纳税收的良好记录：提供磋商截止时间前12个月内任一个月的纳税缴费凭据,依法免税的单位应提供相关证明材料</w:t>
      </w:r>
    </w:p>
    <w:p>
      <w:pPr>
        <w:pStyle w:val="null3"/>
      </w:pPr>
      <w:r>
        <w:rPr>
          <w:rFonts w:ascii="仿宋_GB2312" w:hAnsi="仿宋_GB2312" w:cs="仿宋_GB2312" w:eastAsia="仿宋_GB2312"/>
        </w:rPr>
        <w:t>5、依法缴纳社会保障资金的良好记录：提供磋商截止时间前12个月内任一个月的缴费凭据或社保机构开具的社会保险参保缴费情况证明，依法不需要缴纳社会保障资金的单位应提供相关证明材料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6、供应商资质：供应商须具备建筑工程施工总承包三级及以上或钢结构专业承包三级及以上资质，并具备有效的安全生产许可证；</w:t>
      </w:r>
    </w:p>
    <w:p>
      <w:pPr>
        <w:pStyle w:val="null3"/>
      </w:pPr>
      <w:r>
        <w:rPr>
          <w:rFonts w:ascii="仿宋_GB2312" w:hAnsi="仿宋_GB2312" w:cs="仿宋_GB2312" w:eastAsia="仿宋_GB2312"/>
        </w:rPr>
        <w:t>7、拟派项目经理：拟派项目经理应具有建筑工程专业二级及以上注册建造师资格，且具有安全生产考核合格证书(B证)，且在本单位注册，无在建项目</w:t>
      </w:r>
    </w:p>
    <w:p>
      <w:pPr>
        <w:pStyle w:val="null3"/>
      </w:pPr>
      <w:r>
        <w:rPr>
          <w:rFonts w:ascii="仿宋_GB2312" w:hAnsi="仿宋_GB2312" w:cs="仿宋_GB2312" w:eastAsia="仿宋_GB2312"/>
        </w:rPr>
        <w:t>8、信用记录：供应商在“信用中国”网站（www.creditchina.gov.cn）中未被列入重大税收失信主体及中国执行信息公开网(court.gov.cn)中未被列入失信被执行人名单；供应商未被“中国政府采购网”列入政府采购严重违法失信名单；</w:t>
      </w:r>
    </w:p>
    <w:p>
      <w:pPr>
        <w:pStyle w:val="null3"/>
      </w:pPr>
      <w:r>
        <w:rPr>
          <w:rFonts w:ascii="仿宋_GB2312" w:hAnsi="仿宋_GB2312" w:cs="仿宋_GB2312" w:eastAsia="仿宋_GB2312"/>
        </w:rPr>
        <w:t>9、无重大违法记录声明函：参加本次采购活动前三年内在经营活动中没有重大违法记录；（提供声明）</w:t>
      </w:r>
    </w:p>
    <w:p>
      <w:pPr>
        <w:pStyle w:val="null3"/>
      </w:pPr>
      <w:r>
        <w:rPr>
          <w:rFonts w:ascii="仿宋_GB2312" w:hAnsi="仿宋_GB2312" w:cs="仿宋_GB2312" w:eastAsia="仿宋_GB2312"/>
        </w:rPr>
        <w:t>10、控股关系：单位负责人为同一人或者存在控股、管理关系的不同单位，不得参加同一磋商项目投标；（提供声明）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周至县广济镇人民政府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广济镇广济村中心街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屈谦阳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13572834055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西安市高新区丈八街办团结南路35号高新新天地2号楼24层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029-88819028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采购包1：999,593.02元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价格[2002]1980号文件《招标代理服务收费管理暂行办法》的招标代理服务收费标准，按国家发展和改革委员会文件发改价格[2011]534号文件调整后的招标代理服务收费标准的基础上下浮40%收取；由中标单位在领取中标通知书前一次性支付给招标代理公司。</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周至县广济镇人民政府</w:t>
      </w:r>
      <w:r>
        <w:rPr>
          <w:rFonts w:ascii="仿宋_GB2312" w:hAnsi="仿宋_GB2312" w:cs="仿宋_GB2312" w:eastAsia="仿宋_GB2312"/>
        </w:rPr>
        <w:t>和</w:t>
      </w:r>
      <w:r>
        <w:rPr>
          <w:rFonts w:ascii="仿宋_GB2312" w:hAnsi="仿宋_GB2312" w:cs="仿宋_GB2312" w:eastAsia="仿宋_GB2312"/>
        </w:rPr>
        <w:t>中昊项目管理有限公司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周至县广济镇人民政府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中昊项目管理有限公司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周至县广济镇人民政府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联系电话：029-88819028</w:t>
      </w:r>
    </w:p>
    <w:p>
      <w:pPr>
        <w:pStyle w:val="null3"/>
      </w:pPr>
      <w:r>
        <w:rPr>
          <w:rFonts w:ascii="仿宋_GB2312" w:hAnsi="仿宋_GB2312" w:cs="仿宋_GB2312" w:eastAsia="仿宋_GB2312"/>
        </w:rPr>
        <w:t>地址：西安市高新区团结南路35号高新新天地2号楼2402</w:t>
      </w:r>
    </w:p>
    <w:p>
      <w:pPr>
        <w:pStyle w:val="null3"/>
      </w:pPr>
      <w:r>
        <w:rPr>
          <w:rFonts w:ascii="仿宋_GB2312" w:hAnsi="仿宋_GB2312" w:cs="仿宋_GB2312" w:eastAsia="仿宋_GB2312"/>
        </w:rPr>
        <w:t>邮编：71000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999,593.02</w:t>
      </w:r>
    </w:p>
    <w:p>
      <w:pPr>
        <w:pStyle w:val="null3"/>
      </w:pPr>
      <w:r>
        <w:rPr>
          <w:rFonts w:ascii="仿宋_GB2312" w:hAnsi="仿宋_GB2312" w:cs="仿宋_GB2312" w:eastAsia="仿宋_GB2312"/>
        </w:rPr>
        <w:t>采购包最高限价（元）: 999,593.02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周至县广济镇农业产业强镇建设项目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999,593.02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标的名称：周至县广济镇农业产业强镇建设项目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采购内容及技术要求</w:t>
            </w:r>
          </w:p>
        </w:tc>
        <w:tc>
          <w:tcPr>
            <w:tcW w:type="dxa" w:w="2076"/>
          </w:tcPr>
          <w:p>
            <w:pPr>
              <w:pStyle w:val="null3"/>
              <w:jc w:val="left"/>
            </w:pPr>
            <w:r>
              <w:rPr>
                <w:rFonts w:ascii="仿宋_GB2312" w:hAnsi="仿宋_GB2312" w:cs="仿宋_GB2312" w:eastAsia="仿宋_GB2312"/>
                <w:sz w:val="21"/>
                <w:b/>
              </w:rPr>
              <w:t>一、项目名称：</w:t>
            </w:r>
            <w:r>
              <w:rPr>
                <w:rFonts w:ascii="仿宋_GB2312" w:hAnsi="仿宋_GB2312" w:cs="仿宋_GB2312" w:eastAsia="仿宋_GB2312"/>
                <w:sz w:val="21"/>
              </w:rPr>
              <w:t>广济镇农业产业强镇建设项目</w:t>
            </w:r>
          </w:p>
          <w:p>
            <w:pPr>
              <w:pStyle w:val="null3"/>
              <w:jc w:val="left"/>
            </w:pPr>
            <w:r>
              <w:rPr>
                <w:rFonts w:ascii="仿宋_GB2312" w:hAnsi="仿宋_GB2312" w:cs="仿宋_GB2312" w:eastAsia="仿宋_GB2312"/>
                <w:sz w:val="21"/>
                <w:b/>
              </w:rPr>
              <w:t>二、项目概况</w:t>
            </w:r>
          </w:p>
          <w:p>
            <w:pPr>
              <w:pStyle w:val="null3"/>
              <w:ind w:firstLine="420"/>
              <w:jc w:val="left"/>
            </w:pPr>
            <w:r>
              <w:rPr>
                <w:rFonts w:ascii="仿宋_GB2312" w:hAnsi="仿宋_GB2312" w:cs="仿宋_GB2312" w:eastAsia="仿宋_GB2312"/>
                <w:sz w:val="21"/>
              </w:rPr>
              <w:t>1.新建钢结构大棚两层;总计243㎡。</w:t>
            </w:r>
          </w:p>
          <w:p>
            <w:pPr>
              <w:pStyle w:val="null3"/>
              <w:ind w:firstLine="420"/>
              <w:jc w:val="left"/>
            </w:pPr>
            <w:r>
              <w:rPr>
                <w:rFonts w:ascii="仿宋_GB2312" w:hAnsi="仿宋_GB2312" w:cs="仿宋_GB2312" w:eastAsia="仿宋_GB2312"/>
                <w:sz w:val="21"/>
              </w:rPr>
              <w:t>2.新建 60 吨保鲜冷库1间:</w:t>
            </w:r>
          </w:p>
          <w:p>
            <w:pPr>
              <w:pStyle w:val="null3"/>
              <w:ind w:firstLine="420"/>
              <w:jc w:val="left"/>
            </w:pPr>
            <w:r>
              <w:rPr>
                <w:rFonts w:ascii="仿宋_GB2312" w:hAnsi="仿宋_GB2312" w:cs="仿宋_GB2312" w:eastAsia="仿宋_GB2312"/>
                <w:sz w:val="21"/>
              </w:rPr>
              <w:t>3.购置木质托盘100个:购置果品周转箱 2000个:购置安装高性能单通道猕猴桃分拣线1条。</w:t>
            </w:r>
          </w:p>
          <w:p>
            <w:pPr>
              <w:pStyle w:val="null3"/>
              <w:jc w:val="left"/>
            </w:pPr>
            <w:r>
              <w:rPr>
                <w:rFonts w:ascii="仿宋_GB2312" w:hAnsi="仿宋_GB2312" w:cs="仿宋_GB2312" w:eastAsia="仿宋_GB2312"/>
                <w:sz w:val="21"/>
                <w:b/>
              </w:rPr>
              <w:t>三、商务要求：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工程地点：周至县</w:t>
            </w:r>
            <w:r>
              <w:rPr>
                <w:rFonts w:ascii="仿宋_GB2312" w:hAnsi="仿宋_GB2312" w:cs="仿宋_GB2312" w:eastAsia="仿宋_GB2312"/>
                <w:sz w:val="21"/>
              </w:rPr>
              <w:t>广济镇</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工期：180日历天</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质量标准：</w:t>
            </w:r>
            <w:r>
              <w:rPr>
                <w:rFonts w:ascii="仿宋_GB2312" w:hAnsi="仿宋_GB2312" w:cs="仿宋_GB2312" w:eastAsia="仿宋_GB2312"/>
                <w:sz w:val="21"/>
              </w:rPr>
              <w:t>符合国家相关“验收”规范及标准。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符合国家相关“验收”规范及标准。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供应商须具备独立承担民事责任能力的法人、其他组织或自然人，提供营业执照/事业单位法人证书/非企业专业服务机构执业许可证/自然人身份证；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具有合格有效的法定代表人授权书及被授权人身份证明（法定代表人直接参加磋商的须提供法定代表人证明书及其身份证明）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资信证明</w:t>
            </w:r>
          </w:p>
        </w:tc>
        <w:tc>
          <w:tcPr>
            <w:tcW w:type="dxa" w:w="3322"/>
          </w:tcPr>
          <w:p>
            <w:pPr>
              <w:pStyle w:val="null3"/>
            </w:pPr>
            <w:r>
              <w:rPr>
                <w:rFonts w:ascii="仿宋_GB2312" w:hAnsi="仿宋_GB2312" w:cs="仿宋_GB2312" w:eastAsia="仿宋_GB2312"/>
              </w:rPr>
              <w:t>提供2023年度或2024年度经审计的财务报告；或在开标日期前六个月内其基本开户银行出具的资信证明；（以上两种形式的资料提供任何一种即可）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依法缴纳税收的良好记录</w:t>
            </w:r>
          </w:p>
        </w:tc>
        <w:tc>
          <w:tcPr>
            <w:tcW w:type="dxa" w:w="3322"/>
          </w:tcPr>
          <w:p>
            <w:pPr>
              <w:pStyle w:val="null3"/>
            </w:pPr>
            <w:r>
              <w:rPr>
                <w:rFonts w:ascii="仿宋_GB2312" w:hAnsi="仿宋_GB2312" w:cs="仿宋_GB2312" w:eastAsia="仿宋_GB2312"/>
              </w:rPr>
              <w:t>提供磋商截止时间前12个月内任一个月的纳税缴费凭据,依法免税的单位应提供相关证明材料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依法缴纳社会保障资金的良好记录</w:t>
            </w:r>
          </w:p>
        </w:tc>
        <w:tc>
          <w:tcPr>
            <w:tcW w:type="dxa" w:w="3322"/>
          </w:tcPr>
          <w:p>
            <w:pPr>
              <w:pStyle w:val="null3"/>
            </w:pPr>
            <w:r>
              <w:rPr>
                <w:rFonts w:ascii="仿宋_GB2312" w:hAnsi="仿宋_GB2312" w:cs="仿宋_GB2312" w:eastAsia="仿宋_GB2312"/>
              </w:rPr>
              <w:t>提供磋商截止时间前12个月内任一个月的缴费凭据或社保机构开具的社会保险参保缴费情况证明，依法不需要缴纳社会保障资金的单位应提供相关证明材料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供应商须具备建筑工程施工总承包三级及以上或钢结构专业承包三级及以上资质，并具备有效的安全生产许可证；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拟派项目经理应具有建筑工程专业二级及以上注册建造师资格，且具有安全生产考核合格证书(B证)，且在本单位注册，无在建项目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供应商在“信用中国”网站（www.creditchina.gov.cn）中未被列入重大税收失信主体及中国执行信息公开网(court.gov.cn)中未被列入失信被执行人名单；供应商未被“中国政府采购网”列入政府采购严重违法失信名单；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无重大违法记录声明函</w:t>
            </w:r>
          </w:p>
        </w:tc>
        <w:tc>
          <w:tcPr>
            <w:tcW w:type="dxa" w:w="3322"/>
          </w:tcPr>
          <w:p>
            <w:pPr>
              <w:pStyle w:val="null3"/>
            </w:pPr>
            <w:r>
              <w:rPr>
                <w:rFonts w:ascii="仿宋_GB2312" w:hAnsi="仿宋_GB2312" w:cs="仿宋_GB2312" w:eastAsia="仿宋_GB2312"/>
              </w:rPr>
              <w:t>参加本次采购活动前三年内在经营活动中没有重大违法记录；（提供声明）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单位负责人为同一人或者存在控股、管理关系的不同单位，不得参加同一磋商项目投标；（提供声明）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施工方案合理、技术措施得当计【4-7】分，方案基本合理、技术措施一般计【1-4）分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质量管理体系完善，技术组织措施合理、可行计【4-7】分, 质量管理体系较完善、技术组织措施一般计【1-4）分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安全管理体系健全，保证措施合理、可行计【4-7】分；安全管理体系较健全，保障措施一般计【1-4）</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项目组织管理机构安排计划</w:t>
            </w:r>
          </w:p>
        </w:tc>
        <w:tc>
          <w:tcPr>
            <w:tcW w:type="dxa" w:w="2492"/>
          </w:tcPr>
          <w:p>
            <w:pPr>
              <w:pStyle w:val="null3"/>
            </w:pPr>
            <w:r>
              <w:rPr>
                <w:rFonts w:ascii="仿宋_GB2312" w:hAnsi="仿宋_GB2312" w:cs="仿宋_GB2312" w:eastAsia="仿宋_GB2312"/>
              </w:rPr>
              <w:t>项目组织管理机构人员配置齐全（除项目经理外），各专业配备合理、分工及岗位职责清晰计【4-7】分；人员配置一般，分工基本明确，职责不够清晰计【1-4）分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环境保护措施、施工现场扬尘预防措施</w:t>
            </w:r>
          </w:p>
        </w:tc>
        <w:tc>
          <w:tcPr>
            <w:tcW w:type="dxa" w:w="2492"/>
          </w:tcPr>
          <w:p>
            <w:pPr>
              <w:pStyle w:val="null3"/>
            </w:pPr>
            <w:r>
              <w:rPr>
                <w:rFonts w:ascii="仿宋_GB2312" w:hAnsi="仿宋_GB2312" w:cs="仿宋_GB2312" w:eastAsia="仿宋_GB2312"/>
              </w:rPr>
              <w:t>各项措施合理、保障有力计【3-6】分；各项措施一般计【1-3）分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各项措施合理、保障有力计【3-6】分；各项措施一般计【1-3）分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施工现场机械配备和材料投入计划合理，符合施工实际需求计【3-6】分；施工机械配备和材料投入计划一般，基本符合施工实际需求的计【1-3）分；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各项措施合理、保障有力计【3-6】分；各项措施一般计【1-3）分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进度计划合理、保证措施有力计【3-6】分；施工进度计划不清晰、措施一般计【1-3）分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针对本项目的承诺</w:t>
            </w:r>
          </w:p>
        </w:tc>
        <w:tc>
          <w:tcPr>
            <w:tcW w:type="dxa" w:w="2492"/>
          </w:tcPr>
          <w:p>
            <w:pPr>
              <w:pStyle w:val="null3"/>
            </w:pPr>
            <w:r>
              <w:rPr>
                <w:rFonts w:ascii="仿宋_GB2312" w:hAnsi="仿宋_GB2312" w:cs="仿宋_GB2312" w:eastAsia="仿宋_GB2312"/>
              </w:rPr>
              <w:t>针对本项目作出合理有效的承诺(包含但不限于不得拖欠施工人员工资、给施工人员缴纳保险以及针对质量保修的承诺等)；内容完善，合理，得【3-6】分； 承诺内容一般，基本合理得【1-3）分；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企业2021年1月至今具有类似工程业绩者，每项得2分，满分得6分（以提供的施工合同为准）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满足磋商文件要求且最后磋商报价最低的供应商的价格为磋商基准价，其价格分为满分。 其他供应商的价格分统一按照下列公式计算：磋商报价得分=（磋商基准价/最后磋商报价）×报价分值。 本项目为专门面向中小企业的项目，不给予价格折扣。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