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E69A5C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 w:val="36"/>
          <w:szCs w:val="36"/>
          <w:lang w:val="zh-CN"/>
        </w:rPr>
      </w:pPr>
      <w:r>
        <w:rPr>
          <w:rFonts w:hint="eastAsia" w:ascii="宋体" w:hAnsi="宋体"/>
          <w:b/>
          <w:bCs/>
          <w:sz w:val="36"/>
          <w:szCs w:val="36"/>
          <w:lang w:val="zh-CN"/>
        </w:rPr>
        <w:t>商务偏离表</w:t>
      </w:r>
    </w:p>
    <w:p w14:paraId="4193235B">
      <w:pPr>
        <w:spacing w:line="480" w:lineRule="auto"/>
        <w:outlineLvl w:val="9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  <w:lang w:eastAsia="zh-CN"/>
        </w:rPr>
        <w:t>项目名称</w:t>
      </w:r>
      <w:r>
        <w:rPr>
          <w:rFonts w:hint="eastAsia" w:ascii="宋体" w:hAnsi="宋体" w:eastAsia="宋体" w:cs="宋体"/>
          <w:color w:val="000000"/>
          <w:sz w:val="24"/>
        </w:rPr>
        <w:t>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eastAsia="zh-CN"/>
        </w:rPr>
        <w:t>周至县粮食购销领域监管信息化项目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</w:rPr>
        <w:t xml:space="preserve">    </w:t>
      </w:r>
    </w:p>
    <w:p w14:paraId="738A631E">
      <w:pPr>
        <w:spacing w:line="360" w:lineRule="auto"/>
        <w:rPr>
          <w:rFonts w:ascii="宋体" w:hAnsi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</w:rPr>
        <w:t>项目编号：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b/>
          <w:sz w:val="24"/>
          <w:u w:val="single"/>
          <w:lang w:eastAsia="zh-CN"/>
        </w:rPr>
        <w:t>TYRZ-2024-ZZ065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</w:t>
      </w:r>
    </w:p>
    <w:tbl>
      <w:tblPr>
        <w:tblStyle w:val="3"/>
        <w:tblW w:w="1005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31"/>
        <w:gridCol w:w="1810"/>
        <w:gridCol w:w="2550"/>
        <w:gridCol w:w="1838"/>
        <w:gridCol w:w="1263"/>
        <w:gridCol w:w="1263"/>
      </w:tblGrid>
      <w:tr w14:paraId="0A784AE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331" w:type="dxa"/>
            <w:noWrap w:val="0"/>
            <w:vAlign w:val="center"/>
          </w:tcPr>
          <w:p w14:paraId="7B96A9D6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1810" w:type="dxa"/>
            <w:noWrap w:val="0"/>
            <w:vAlign w:val="center"/>
          </w:tcPr>
          <w:p w14:paraId="445D012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磋商文件条目号</w:t>
            </w:r>
          </w:p>
        </w:tc>
        <w:tc>
          <w:tcPr>
            <w:tcW w:w="2550" w:type="dxa"/>
            <w:noWrap w:val="0"/>
            <w:vAlign w:val="center"/>
          </w:tcPr>
          <w:p w14:paraId="5A7E4516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磋商文件的商务条款</w:t>
            </w:r>
          </w:p>
        </w:tc>
        <w:tc>
          <w:tcPr>
            <w:tcW w:w="1838" w:type="dxa"/>
            <w:noWrap w:val="0"/>
            <w:vAlign w:val="center"/>
          </w:tcPr>
          <w:p w14:paraId="67FBD22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磋商响应文件的 商务条款</w:t>
            </w:r>
          </w:p>
        </w:tc>
        <w:tc>
          <w:tcPr>
            <w:tcW w:w="1263" w:type="dxa"/>
            <w:noWrap w:val="0"/>
            <w:vAlign w:val="center"/>
          </w:tcPr>
          <w:p w14:paraId="1B93FE6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偏离</w:t>
            </w:r>
          </w:p>
        </w:tc>
        <w:tc>
          <w:tcPr>
            <w:tcW w:w="1263" w:type="dxa"/>
            <w:noWrap w:val="0"/>
            <w:vAlign w:val="center"/>
          </w:tcPr>
          <w:p w14:paraId="5E15DF68">
            <w:pPr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说明</w:t>
            </w:r>
          </w:p>
        </w:tc>
      </w:tr>
      <w:tr w14:paraId="69A5F57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5445A353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10" w:type="dxa"/>
            <w:noWrap w:val="0"/>
            <w:vAlign w:val="top"/>
          </w:tcPr>
          <w:p w14:paraId="61962C7C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noWrap w:val="0"/>
            <w:vAlign w:val="top"/>
          </w:tcPr>
          <w:p w14:paraId="1D03DC4D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noWrap w:val="0"/>
            <w:vAlign w:val="top"/>
          </w:tcPr>
          <w:p w14:paraId="377928C1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noWrap w:val="0"/>
            <w:vAlign w:val="top"/>
          </w:tcPr>
          <w:p w14:paraId="1FC04E03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noWrap w:val="0"/>
            <w:vAlign w:val="top"/>
          </w:tcPr>
          <w:p w14:paraId="62842658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6C10B1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2AB5D4B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10" w:type="dxa"/>
            <w:noWrap w:val="0"/>
            <w:vAlign w:val="top"/>
          </w:tcPr>
          <w:p w14:paraId="280C188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0" w:type="dxa"/>
            <w:noWrap w:val="0"/>
            <w:vAlign w:val="top"/>
          </w:tcPr>
          <w:p w14:paraId="7500844E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38" w:type="dxa"/>
            <w:noWrap w:val="0"/>
            <w:vAlign w:val="top"/>
          </w:tcPr>
          <w:p w14:paraId="7BF743A5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50CE56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B3A5B75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50507C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54B1530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10" w:type="dxa"/>
            <w:noWrap w:val="0"/>
            <w:vAlign w:val="top"/>
          </w:tcPr>
          <w:p w14:paraId="1E4003A0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0" w:type="dxa"/>
            <w:noWrap w:val="0"/>
            <w:vAlign w:val="top"/>
          </w:tcPr>
          <w:p w14:paraId="2C5441D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38" w:type="dxa"/>
            <w:noWrap w:val="0"/>
            <w:vAlign w:val="top"/>
          </w:tcPr>
          <w:p w14:paraId="7F5A79F3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53F9436F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CBB174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1E9FE2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68C3188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10" w:type="dxa"/>
            <w:noWrap w:val="0"/>
            <w:vAlign w:val="top"/>
          </w:tcPr>
          <w:p w14:paraId="7C086AA6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0" w:type="dxa"/>
            <w:noWrap w:val="0"/>
            <w:vAlign w:val="top"/>
          </w:tcPr>
          <w:p w14:paraId="5AE1FD22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38" w:type="dxa"/>
            <w:noWrap w:val="0"/>
            <w:vAlign w:val="top"/>
          </w:tcPr>
          <w:p w14:paraId="7195F7A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040DA8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39D2A09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35BEC7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5D8505B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10" w:type="dxa"/>
            <w:noWrap w:val="0"/>
            <w:vAlign w:val="top"/>
          </w:tcPr>
          <w:p w14:paraId="32A5324F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0" w:type="dxa"/>
            <w:noWrap w:val="0"/>
            <w:vAlign w:val="top"/>
          </w:tcPr>
          <w:p w14:paraId="662DDEE6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38" w:type="dxa"/>
            <w:noWrap w:val="0"/>
            <w:vAlign w:val="top"/>
          </w:tcPr>
          <w:p w14:paraId="52B71A9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7BFE1E5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E96CA1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4947522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2AAA44F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10" w:type="dxa"/>
            <w:noWrap w:val="0"/>
            <w:vAlign w:val="top"/>
          </w:tcPr>
          <w:p w14:paraId="508F7131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0" w:type="dxa"/>
            <w:noWrap w:val="0"/>
            <w:vAlign w:val="top"/>
          </w:tcPr>
          <w:p w14:paraId="6406E600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38" w:type="dxa"/>
            <w:noWrap w:val="0"/>
            <w:vAlign w:val="top"/>
          </w:tcPr>
          <w:p w14:paraId="37D857D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17CC2B10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2A2CF85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</w:tbl>
    <w:p w14:paraId="42163008">
      <w:pPr>
        <w:spacing w:line="360" w:lineRule="auto"/>
        <w:rPr>
          <w:rFonts w:ascii="宋体" w:hAnsi="宋体"/>
          <w:color w:val="000000"/>
          <w:sz w:val="28"/>
          <w:szCs w:val="28"/>
        </w:rPr>
      </w:pPr>
    </w:p>
    <w:p w14:paraId="1C28DEE3">
      <w:pPr>
        <w:spacing w:line="46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说明： 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47DDD8B8">
      <w:pPr>
        <w:spacing w:line="46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 2.供应商必须据实填写，不得虚假响应，否则将取消其磋商或成交资格，并按有关规定进处罚。</w:t>
      </w:r>
    </w:p>
    <w:p w14:paraId="17F59994">
      <w:pPr>
        <w:pStyle w:val="5"/>
        <w:widowControl w:val="0"/>
        <w:numPr>
          <w:ilvl w:val="0"/>
          <w:numId w:val="0"/>
        </w:numPr>
        <w:jc w:val="both"/>
        <w:rPr>
          <w:rFonts w:hint="eastAsia"/>
          <w:sz w:val="18"/>
          <w:szCs w:val="22"/>
        </w:rPr>
      </w:pPr>
    </w:p>
    <w:p w14:paraId="0F9201E7">
      <w:pPr>
        <w:pStyle w:val="2"/>
        <w:rPr>
          <w:rFonts w:hint="eastAsia" w:ascii="宋体" w:hAnsi="宋体" w:cs="仿宋"/>
          <w:color w:val="000000"/>
          <w:sz w:val="24"/>
        </w:rPr>
      </w:pPr>
    </w:p>
    <w:p w14:paraId="2CD46852">
      <w:pPr>
        <w:pStyle w:val="2"/>
        <w:rPr>
          <w:rFonts w:hint="eastAsia" w:ascii="宋体" w:hAnsi="宋体" w:cs="仿宋"/>
          <w:color w:val="000000"/>
          <w:sz w:val="24"/>
        </w:rPr>
      </w:pPr>
    </w:p>
    <w:p w14:paraId="643A9D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outlineLvl w:val="9"/>
        <w:rPr>
          <w:rFonts w:hint="eastAsia" w:ascii="宋体" w:hAnsi="宋体" w:cs="仿宋"/>
          <w:color w:val="000000"/>
          <w:sz w:val="24"/>
        </w:rPr>
      </w:pPr>
    </w:p>
    <w:p w14:paraId="701ADA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outlineLvl w:val="9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供应商名称：</w:t>
      </w:r>
      <w:r>
        <w:rPr>
          <w:rFonts w:hint="eastAsia" w:ascii="宋体" w:hAnsi="宋体" w:cs="仿宋"/>
          <w:color w:val="000000"/>
          <w:sz w:val="24"/>
          <w:u w:val="single"/>
        </w:rPr>
        <w:t xml:space="preserve">                    （公章）</w:t>
      </w:r>
    </w:p>
    <w:p w14:paraId="0AAD7508">
      <w:pPr>
        <w:adjustRightInd w:val="0"/>
        <w:snapToGrid w:val="0"/>
        <w:spacing w:line="360" w:lineRule="auto"/>
        <w:jc w:val="right"/>
        <w:outlineLvl w:val="9"/>
        <w:rPr>
          <w:rFonts w:hint="eastAsia"/>
        </w:rPr>
      </w:pPr>
      <w:r>
        <w:rPr>
          <w:rFonts w:hint="eastAsia" w:ascii="宋体" w:hAnsi="宋体" w:cs="仿宋"/>
          <w:color w:val="000000"/>
          <w:sz w:val="24"/>
        </w:rPr>
        <w:t>法定代表人或被授权代表：</w:t>
      </w:r>
      <w:r>
        <w:rPr>
          <w:rFonts w:hint="eastAsia" w:ascii="宋体" w:hAnsi="宋体" w:cs="仿宋"/>
          <w:color w:val="000000"/>
          <w:sz w:val="24"/>
          <w:u w:val="single"/>
        </w:rPr>
        <w:t xml:space="preserve">           </w:t>
      </w:r>
      <w:r>
        <w:rPr>
          <w:rFonts w:hint="eastAsia" w:ascii="宋体" w:hAnsi="宋体" w:cs="仿宋"/>
          <w:color w:val="000000"/>
          <w:sz w:val="24"/>
        </w:rPr>
        <w:t>（签字</w:t>
      </w:r>
      <w:r>
        <w:rPr>
          <w:rFonts w:hint="eastAsia" w:ascii="宋体" w:hAnsi="宋体" w:cs="仿宋"/>
          <w:color w:val="000000"/>
          <w:sz w:val="24"/>
          <w:lang w:eastAsia="zh-CN"/>
        </w:rPr>
        <w:t>或</w:t>
      </w:r>
      <w:r>
        <w:rPr>
          <w:rFonts w:hint="eastAsia" w:ascii="宋体" w:hAnsi="宋体" w:cs="仿宋"/>
          <w:color w:val="000000"/>
          <w:sz w:val="24"/>
        </w:rPr>
        <w:t>盖章）</w:t>
      </w:r>
    </w:p>
    <w:p w14:paraId="02648850">
      <w:pPr>
        <w:pStyle w:val="5"/>
        <w:numPr>
          <w:ilvl w:val="0"/>
          <w:numId w:val="0"/>
        </w:numPr>
        <w:ind w:leftChars="0"/>
        <w:rPr>
          <w:rFonts w:hint="eastAsia"/>
        </w:rPr>
      </w:pPr>
    </w:p>
    <w:p w14:paraId="0AACC1DE">
      <w:pPr>
        <w:pStyle w:val="5"/>
        <w:numPr>
          <w:ilvl w:val="0"/>
          <w:numId w:val="0"/>
        </w:numPr>
        <w:ind w:leftChars="0"/>
        <w:jc w:val="right"/>
        <w:rPr>
          <w:rFonts w:hint="eastAsia"/>
        </w:rPr>
      </w:pPr>
      <w:r>
        <w:rPr>
          <w:rFonts w:hint="eastAsia" w:ascii="宋体" w:hAnsi="宋体"/>
          <w:spacing w:val="4"/>
          <w:sz w:val="24"/>
          <w:szCs w:val="24"/>
        </w:rPr>
        <w:t>日期：</w:t>
      </w:r>
      <w:r>
        <w:rPr>
          <w:rFonts w:hint="eastAsia" w:ascii="宋体" w:hAnsi="宋体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pacing w:val="4"/>
          <w:sz w:val="24"/>
          <w:szCs w:val="24"/>
        </w:rPr>
        <w:t>年</w:t>
      </w:r>
      <w:r>
        <w:rPr>
          <w:rFonts w:hint="eastAsia" w:ascii="宋体" w:hAnsi="宋体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pacing w:val="4"/>
          <w:sz w:val="24"/>
          <w:szCs w:val="24"/>
        </w:rPr>
        <w:t>月</w:t>
      </w:r>
      <w:r>
        <w:rPr>
          <w:rFonts w:hint="eastAsia" w:ascii="宋体" w:hAnsi="宋体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pacing w:val="4"/>
          <w:sz w:val="24"/>
          <w:szCs w:val="24"/>
        </w:rPr>
        <w:t>日</w:t>
      </w:r>
    </w:p>
    <w:p w14:paraId="45681399">
      <w:pPr>
        <w:spacing w:line="480" w:lineRule="auto"/>
        <w:jc w:val="center"/>
        <w:outlineLvl w:val="9"/>
        <w:rPr>
          <w:rFonts w:hint="eastAsia" w:ascii="宋体" w:hAnsi="宋体" w:eastAsia="宋体" w:cs="宋体"/>
          <w:sz w:val="30"/>
          <w:szCs w:val="30"/>
        </w:rPr>
        <w:sectPr>
          <w:footerReference r:id="rId3" w:type="default"/>
          <w:pgSz w:w="11906" w:h="16838"/>
          <w:pgMar w:top="1440" w:right="1800" w:bottom="1440" w:left="1800" w:header="964" w:footer="96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linePitch="312" w:charSpace="0"/>
        </w:sectPr>
      </w:pPr>
    </w:p>
    <w:p w14:paraId="2DDD0803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宋体" w:hAnsi="宋体"/>
          <w:b/>
          <w:bCs/>
          <w:sz w:val="36"/>
          <w:szCs w:val="36"/>
          <w:lang w:val="zh-CN"/>
        </w:rPr>
      </w:pPr>
      <w:r>
        <w:rPr>
          <w:rFonts w:hint="eastAsia" w:ascii="宋体" w:hAnsi="宋体"/>
          <w:b/>
          <w:bCs/>
          <w:sz w:val="36"/>
          <w:szCs w:val="36"/>
          <w:lang w:val="zh-CN"/>
        </w:rPr>
        <w:t>技术偏离表</w:t>
      </w:r>
    </w:p>
    <w:p w14:paraId="54EB3F29">
      <w:pPr>
        <w:spacing w:line="480" w:lineRule="auto"/>
        <w:outlineLvl w:val="9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  <w:lang w:eastAsia="zh-CN"/>
        </w:rPr>
        <w:t>项目名称</w:t>
      </w:r>
      <w:r>
        <w:rPr>
          <w:rFonts w:hint="eastAsia" w:ascii="宋体" w:hAnsi="宋体" w:eastAsia="宋体" w:cs="宋体"/>
          <w:color w:val="000000"/>
          <w:sz w:val="24"/>
        </w:rPr>
        <w:t>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eastAsia="zh-CN"/>
        </w:rPr>
        <w:t>周至县粮食购销领域监管信息化项目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</w:rPr>
        <w:t xml:space="preserve">    </w:t>
      </w:r>
    </w:p>
    <w:p w14:paraId="7992988F">
      <w:pPr>
        <w:spacing w:line="360" w:lineRule="auto"/>
        <w:rPr>
          <w:rFonts w:ascii="宋体" w:hAnsi="宋体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</w:rPr>
        <w:t>项目编号：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b/>
          <w:sz w:val="24"/>
          <w:u w:val="single"/>
          <w:lang w:eastAsia="zh-CN"/>
        </w:rPr>
        <w:t>TYRZ-2024-ZZ065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</w:t>
      </w:r>
    </w:p>
    <w:tbl>
      <w:tblPr>
        <w:tblStyle w:val="3"/>
        <w:tblW w:w="1005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31"/>
        <w:gridCol w:w="1810"/>
        <w:gridCol w:w="2550"/>
        <w:gridCol w:w="1838"/>
        <w:gridCol w:w="1263"/>
        <w:gridCol w:w="1263"/>
      </w:tblGrid>
      <w:tr w14:paraId="4E04935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331" w:type="dxa"/>
            <w:noWrap w:val="0"/>
            <w:vAlign w:val="center"/>
          </w:tcPr>
          <w:p w14:paraId="5F8B7C84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1810" w:type="dxa"/>
            <w:noWrap w:val="0"/>
            <w:vAlign w:val="center"/>
          </w:tcPr>
          <w:p w14:paraId="7F8CCED2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磋商文件条目号</w:t>
            </w:r>
          </w:p>
        </w:tc>
        <w:tc>
          <w:tcPr>
            <w:tcW w:w="2550" w:type="dxa"/>
            <w:noWrap w:val="0"/>
            <w:vAlign w:val="center"/>
          </w:tcPr>
          <w:p w14:paraId="39FA90E8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磋商文件的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技术</w:t>
            </w:r>
            <w:r>
              <w:rPr>
                <w:rFonts w:ascii="宋体" w:hAnsi="宋体" w:eastAsia="宋体" w:cs="宋体"/>
                <w:sz w:val="24"/>
                <w:szCs w:val="24"/>
              </w:rPr>
              <w:t>条款</w:t>
            </w:r>
          </w:p>
        </w:tc>
        <w:tc>
          <w:tcPr>
            <w:tcW w:w="1838" w:type="dxa"/>
            <w:noWrap w:val="0"/>
            <w:vAlign w:val="center"/>
          </w:tcPr>
          <w:p w14:paraId="77E3F5E4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 xml:space="preserve">磋商响应文件的 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技术</w:t>
            </w:r>
            <w:r>
              <w:rPr>
                <w:rFonts w:ascii="宋体" w:hAnsi="宋体" w:eastAsia="宋体" w:cs="宋体"/>
                <w:sz w:val="24"/>
                <w:szCs w:val="24"/>
              </w:rPr>
              <w:t>条款</w:t>
            </w:r>
          </w:p>
        </w:tc>
        <w:tc>
          <w:tcPr>
            <w:tcW w:w="1263" w:type="dxa"/>
            <w:noWrap w:val="0"/>
            <w:vAlign w:val="center"/>
          </w:tcPr>
          <w:p w14:paraId="2ADCD476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偏离</w:t>
            </w:r>
          </w:p>
        </w:tc>
        <w:tc>
          <w:tcPr>
            <w:tcW w:w="1263" w:type="dxa"/>
            <w:noWrap w:val="0"/>
            <w:vAlign w:val="center"/>
          </w:tcPr>
          <w:p w14:paraId="52F8B61A">
            <w:pPr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说明</w:t>
            </w:r>
          </w:p>
        </w:tc>
      </w:tr>
      <w:tr w14:paraId="1464CB4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4E19C449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10" w:type="dxa"/>
            <w:noWrap w:val="0"/>
            <w:vAlign w:val="top"/>
          </w:tcPr>
          <w:p w14:paraId="0D24DA38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noWrap w:val="0"/>
            <w:vAlign w:val="top"/>
          </w:tcPr>
          <w:p w14:paraId="02F2B3D9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noWrap w:val="0"/>
            <w:vAlign w:val="top"/>
          </w:tcPr>
          <w:p w14:paraId="0BAD0C0D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noWrap w:val="0"/>
            <w:vAlign w:val="top"/>
          </w:tcPr>
          <w:p w14:paraId="7383341E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63" w:type="dxa"/>
            <w:noWrap w:val="0"/>
            <w:vAlign w:val="top"/>
          </w:tcPr>
          <w:p w14:paraId="71580AF8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731782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1179DE56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10" w:type="dxa"/>
            <w:noWrap w:val="0"/>
            <w:vAlign w:val="top"/>
          </w:tcPr>
          <w:p w14:paraId="4172E16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0" w:type="dxa"/>
            <w:noWrap w:val="0"/>
            <w:vAlign w:val="top"/>
          </w:tcPr>
          <w:p w14:paraId="47AE80A9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38" w:type="dxa"/>
            <w:noWrap w:val="0"/>
            <w:vAlign w:val="top"/>
          </w:tcPr>
          <w:p w14:paraId="5DA15AE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57EE9A4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AC581D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1AE189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64D7AAB0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10" w:type="dxa"/>
            <w:noWrap w:val="0"/>
            <w:vAlign w:val="top"/>
          </w:tcPr>
          <w:p w14:paraId="5F0917D7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0" w:type="dxa"/>
            <w:noWrap w:val="0"/>
            <w:vAlign w:val="top"/>
          </w:tcPr>
          <w:p w14:paraId="5CC98E9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38" w:type="dxa"/>
            <w:noWrap w:val="0"/>
            <w:vAlign w:val="top"/>
          </w:tcPr>
          <w:p w14:paraId="2B66B5B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6F13CA72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0D65A5E1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6C02CE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6E30198A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10" w:type="dxa"/>
            <w:noWrap w:val="0"/>
            <w:vAlign w:val="top"/>
          </w:tcPr>
          <w:p w14:paraId="52E5E077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0" w:type="dxa"/>
            <w:noWrap w:val="0"/>
            <w:vAlign w:val="top"/>
          </w:tcPr>
          <w:p w14:paraId="21DD7108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38" w:type="dxa"/>
            <w:noWrap w:val="0"/>
            <w:vAlign w:val="top"/>
          </w:tcPr>
          <w:p w14:paraId="77F6583F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000D23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3045E1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4688EF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5ACF9AE3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10" w:type="dxa"/>
            <w:noWrap w:val="0"/>
            <w:vAlign w:val="top"/>
          </w:tcPr>
          <w:p w14:paraId="28184613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0" w:type="dxa"/>
            <w:noWrap w:val="0"/>
            <w:vAlign w:val="top"/>
          </w:tcPr>
          <w:p w14:paraId="788AC5C0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38" w:type="dxa"/>
            <w:noWrap w:val="0"/>
            <w:vAlign w:val="top"/>
          </w:tcPr>
          <w:p w14:paraId="7DA4C3AF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7D08809F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2403C6AF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14:paraId="7F3A07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331" w:type="dxa"/>
            <w:noWrap w:val="0"/>
            <w:vAlign w:val="top"/>
          </w:tcPr>
          <w:p w14:paraId="63B6BED6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10" w:type="dxa"/>
            <w:noWrap w:val="0"/>
            <w:vAlign w:val="top"/>
          </w:tcPr>
          <w:p w14:paraId="60B41C0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2550" w:type="dxa"/>
            <w:noWrap w:val="0"/>
            <w:vAlign w:val="top"/>
          </w:tcPr>
          <w:p w14:paraId="2BFBB64B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838" w:type="dxa"/>
            <w:noWrap w:val="0"/>
            <w:vAlign w:val="top"/>
          </w:tcPr>
          <w:p w14:paraId="6F4CFC27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F4BA67C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263" w:type="dxa"/>
            <w:noWrap w:val="0"/>
            <w:vAlign w:val="top"/>
          </w:tcPr>
          <w:p w14:paraId="4922128D">
            <w:pPr>
              <w:spacing w:line="360" w:lineRule="auto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</w:tbl>
    <w:p w14:paraId="69EDA34D">
      <w:pPr>
        <w:spacing w:line="360" w:lineRule="auto"/>
        <w:rPr>
          <w:rFonts w:ascii="宋体" w:hAnsi="宋体"/>
          <w:color w:val="000000"/>
          <w:sz w:val="28"/>
          <w:szCs w:val="28"/>
        </w:rPr>
      </w:pPr>
    </w:p>
    <w:p w14:paraId="109603A7">
      <w:pPr>
        <w:spacing w:line="46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说明： 1.本表只填写磋商响应文件中与磋商文件有偏离（包括正偏离和负偏离）的内容，磋商响应文件中</w:t>
      </w:r>
      <w:r>
        <w:rPr>
          <w:rFonts w:hint="eastAsia" w:ascii="宋体" w:hAnsi="宋体" w:cs="宋体"/>
          <w:sz w:val="24"/>
          <w:szCs w:val="24"/>
          <w:lang w:eastAsia="zh-CN"/>
        </w:rPr>
        <w:t>技术</w:t>
      </w:r>
      <w:r>
        <w:rPr>
          <w:rFonts w:ascii="宋体" w:hAnsi="宋体" w:eastAsia="宋体" w:cs="宋体"/>
          <w:sz w:val="24"/>
          <w:szCs w:val="24"/>
        </w:rPr>
        <w:t>响应与磋商文件要求完全一致的，不用在此表中列出，但必须提交空白表。</w:t>
      </w:r>
    </w:p>
    <w:p w14:paraId="064E336D">
      <w:pPr>
        <w:spacing w:line="460" w:lineRule="exac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 2.供应商必须据实填写，不得虚假响应，否则将取消其磋商或成交资格，并按有关规定进处罚。</w:t>
      </w:r>
    </w:p>
    <w:p w14:paraId="359BA64C">
      <w:pPr>
        <w:pStyle w:val="5"/>
        <w:widowControl w:val="0"/>
        <w:numPr>
          <w:ilvl w:val="0"/>
          <w:numId w:val="0"/>
        </w:numPr>
        <w:jc w:val="both"/>
        <w:rPr>
          <w:rFonts w:hint="eastAsia"/>
          <w:sz w:val="18"/>
          <w:szCs w:val="22"/>
        </w:rPr>
      </w:pPr>
    </w:p>
    <w:p w14:paraId="7DEA6842">
      <w:pPr>
        <w:pStyle w:val="2"/>
        <w:rPr>
          <w:rFonts w:hint="eastAsia" w:ascii="宋体" w:hAnsi="宋体" w:cs="仿宋"/>
          <w:color w:val="000000"/>
          <w:sz w:val="24"/>
        </w:rPr>
      </w:pPr>
    </w:p>
    <w:p w14:paraId="09E6311B">
      <w:pPr>
        <w:pStyle w:val="2"/>
        <w:rPr>
          <w:rFonts w:hint="eastAsia" w:ascii="宋体" w:hAnsi="宋体" w:cs="仿宋"/>
          <w:color w:val="000000"/>
          <w:sz w:val="24"/>
        </w:rPr>
      </w:pPr>
    </w:p>
    <w:p w14:paraId="152184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outlineLvl w:val="9"/>
        <w:rPr>
          <w:rFonts w:hint="eastAsia" w:ascii="宋体" w:hAnsi="宋体" w:cs="仿宋"/>
          <w:color w:val="000000"/>
          <w:sz w:val="24"/>
        </w:rPr>
      </w:pPr>
    </w:p>
    <w:p w14:paraId="264153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outlineLvl w:val="9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供应商名称：</w:t>
      </w:r>
      <w:r>
        <w:rPr>
          <w:rFonts w:hint="eastAsia" w:ascii="宋体" w:hAnsi="宋体" w:cs="仿宋"/>
          <w:color w:val="000000"/>
          <w:sz w:val="24"/>
          <w:u w:val="single"/>
        </w:rPr>
        <w:t xml:space="preserve">                    （公章）</w:t>
      </w:r>
    </w:p>
    <w:p w14:paraId="6650A81D">
      <w:pPr>
        <w:adjustRightInd w:val="0"/>
        <w:snapToGrid w:val="0"/>
        <w:spacing w:line="360" w:lineRule="auto"/>
        <w:jc w:val="right"/>
        <w:outlineLvl w:val="9"/>
        <w:rPr>
          <w:rFonts w:hint="eastAsia"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法定代表人或被授权代表：</w:t>
      </w:r>
      <w:r>
        <w:rPr>
          <w:rFonts w:hint="eastAsia" w:ascii="宋体" w:hAnsi="宋体" w:cs="仿宋"/>
          <w:color w:val="000000"/>
          <w:sz w:val="24"/>
          <w:u w:val="single"/>
        </w:rPr>
        <w:t xml:space="preserve">           </w:t>
      </w:r>
      <w:r>
        <w:rPr>
          <w:rFonts w:hint="eastAsia" w:ascii="宋体" w:hAnsi="宋体" w:cs="仿宋"/>
          <w:color w:val="000000"/>
          <w:sz w:val="24"/>
        </w:rPr>
        <w:t>（签字</w:t>
      </w:r>
      <w:r>
        <w:rPr>
          <w:rFonts w:hint="eastAsia" w:ascii="宋体" w:hAnsi="宋体" w:cs="仿宋"/>
          <w:color w:val="000000"/>
          <w:sz w:val="24"/>
          <w:lang w:eastAsia="zh-CN"/>
        </w:rPr>
        <w:t>或</w:t>
      </w:r>
      <w:r>
        <w:rPr>
          <w:rFonts w:hint="eastAsia" w:ascii="宋体" w:hAnsi="宋体" w:cs="仿宋"/>
          <w:color w:val="000000"/>
          <w:sz w:val="24"/>
        </w:rPr>
        <w:t>盖章）</w:t>
      </w:r>
    </w:p>
    <w:p w14:paraId="2153BBC5">
      <w:pPr>
        <w:adjustRightInd w:val="0"/>
        <w:snapToGrid w:val="0"/>
        <w:spacing w:line="360" w:lineRule="auto"/>
        <w:jc w:val="right"/>
        <w:outlineLvl w:val="9"/>
      </w:pPr>
      <w:bookmarkStart w:id="0" w:name="_GoBack"/>
      <w:bookmarkEnd w:id="0"/>
      <w:r>
        <w:rPr>
          <w:rFonts w:hint="eastAsia" w:ascii="宋体" w:hAnsi="宋体"/>
          <w:spacing w:val="4"/>
          <w:sz w:val="24"/>
          <w:szCs w:val="24"/>
        </w:rPr>
        <w:t>日期：</w:t>
      </w:r>
      <w:r>
        <w:rPr>
          <w:rFonts w:hint="eastAsia" w:ascii="宋体" w:hAnsi="宋体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pacing w:val="4"/>
          <w:sz w:val="24"/>
          <w:szCs w:val="24"/>
        </w:rPr>
        <w:t>年</w:t>
      </w:r>
      <w:r>
        <w:rPr>
          <w:rFonts w:hint="eastAsia" w:ascii="宋体" w:hAnsi="宋体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pacing w:val="4"/>
          <w:sz w:val="24"/>
          <w:szCs w:val="24"/>
        </w:rPr>
        <w:t>月</w:t>
      </w:r>
      <w:r>
        <w:rPr>
          <w:rFonts w:hint="eastAsia" w:ascii="宋体" w:hAnsi="宋体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pacing w:val="4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D Y 229+ ZIW Ic F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7D638C">
    <w:pPr>
      <w:pStyle w:val="6"/>
      <w:rPr>
        <w:rFonts w:hint="eastAsia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10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A524F8"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34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9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DOqXm5zwAAAAUBAAAPAAAAAAAAAAEAIAAAACIAAABkcnMvZG93bnJldi54&#10;bWxQSwECFAAUAAAACACHTuJAtV1us8oBAACcAwAADgAAAAAAAAABACAAAAAe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2A524F8"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34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3D2A84"/>
    <w:rsid w:val="293D2A84"/>
    <w:rsid w:val="2DDF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HTML Preformatted1"/>
    <w:basedOn w:val="1"/>
    <w:qFormat/>
    <w:uiPriority w:val="0"/>
    <w:rPr>
      <w:rFonts w:ascii="Courier New" w:hAnsi="Courier New"/>
      <w:sz w:val="20"/>
    </w:rPr>
  </w:style>
  <w:style w:type="paragraph" w:customStyle="1" w:styleId="6">
    <w:name w:val="CM35"/>
    <w:basedOn w:val="7"/>
    <w:next w:val="7"/>
    <w:qFormat/>
    <w:uiPriority w:val="0"/>
    <w:pPr>
      <w:spacing w:after="408"/>
    </w:pPr>
    <w:rPr>
      <w:rFonts w:ascii="Sylfaen" w:eastAsia="Sylfaen"/>
      <w:color w:val="auto"/>
      <w:szCs w:val="20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D Y 229+ ZIW Ic F" w:hAnsi="Times New Roman" w:eastAsia="D Y 229+ ZIW Ic F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2024-11-08T06:47:00Z</dcterms:created>
  <dc:creator>信仰</dc:creator>
  <cp:lastModifiedBy>信仰</cp:lastModifiedBy>
  <dcterms:modified xsi:type="dcterms:W3CDTF">2024-11-08T06:47:47Z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2052-12.1.0.18909</vt:lpwstr>
  </property>
  <property fmtid="{D5CDD505-2E9C-101B-9397-08002B2CF9AE}" pid="3" name="ICV">
    <vt:lpwstr>6351A5EFC7524A2EB7F9A36C8D5DAC40_11</vt:lpwstr>
  </property>
</Properties>
</file>