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版本号：DCZX2025-ZCCS-GC101920250417001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蓝桥镇新店子村2025年村组道路恢复工程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DCZX2025-ZCCS-GC1019</w:t>
      </w:r>
      <w:r>
        <w:br/>
      </w:r>
      <w:r>
        <w:br/>
      </w:r>
      <w:r>
        <w:br/>
      </w:r>
    </w:p>
    <w:p>
      <w:pPr>
        <w:pStyle w:val="null3"/>
        <w:jc w:val="center"/>
        <w:outlineLvl w:val="2"/>
      </w:pPr>
      <w:r>
        <w:rPr>
          <w:rFonts w:ascii="仿宋_GB2312" w:hAnsi="仿宋_GB2312" w:cs="仿宋_GB2312" w:eastAsia="仿宋_GB2312"/>
          <w:sz w:val="28"/>
          <w:b/>
        </w:rPr>
        <w:t>西安市蓝田县蓝桥镇人民政府（本级）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西安市蓝田县蓝桥镇人民政府（本级）</w:t>
      </w:r>
      <w:r>
        <w:rPr>
          <w:rFonts w:ascii="仿宋_GB2312" w:hAnsi="仿宋_GB2312" w:cs="仿宋_GB2312" w:eastAsia="仿宋_GB2312"/>
        </w:rPr>
        <w:t>委托，拟对</w:t>
      </w:r>
      <w:r>
        <w:rPr>
          <w:rFonts w:ascii="仿宋_GB2312" w:hAnsi="仿宋_GB2312" w:cs="仿宋_GB2312" w:eastAsia="仿宋_GB2312"/>
        </w:rPr>
        <w:t>蓝桥镇新店子村2025年村组道路恢复工程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蓝桥镇新店子村2025年村组道路恢复工程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蓝桥镇新店子村2025年村组道路恢复工程施工图纸范围内的道路工程、防护工程等内容。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采购包1（蓝桥镇新店子村2025年村组道路恢复工程）：属于专门面向中小企业采购。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2、项目经理资质：投标供应商拟派项目经理须具备行业主管部门颁发的市政公用工程专业二级及以上建造师资质及有效的安全生产考核合格证书（建安B证），在本单位注册且无在建工程（提供承诺）；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3、身份证明：法定代表人授权书（法定代表人直接参加磋商，须提供法定代表人身份证明）</w:t>
      </w:r>
    </w:p>
    <w:p>
      <w:pPr>
        <w:pStyle w:val="null3"/>
      </w:pPr>
      <w:r>
        <w:rPr>
          <w:rFonts w:ascii="仿宋_GB2312" w:hAnsi="仿宋_GB2312" w:cs="仿宋_GB2312" w:eastAsia="仿宋_GB2312"/>
        </w:rPr>
        <w:t>4、投标供应商基本信息及项目经理基本信息：投标供应商基本信息及项目经理基本信息应在“陕西建设网（http://js.shaanxi.gov.cn/）或陕西省建筑市场监管与诚信信息发布平台”可查询；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5、中小企业声明函：本项目专门面向中小企业采购，仅限符合《政府采购促进中小企业发展管理办法》的通知(财库〔2020〕46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6、承诺书：投标供应商不得在各级诚信信息平台被列为投标受限制的行为人（提供承诺）；</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8、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陕西省西安市蓝田县蓝桥镇蓝桥街村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029-82825039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陕西省西安市雁塔区陕西省西安市高新区高新路88号尚品国际B座5幢1单元7层10703室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西安市蓝田县蓝桥镇人民政府（本级）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1,506,800.00</w:t>
      </w:r>
    </w:p>
    <w:p>
      <w:pPr>
        <w:pStyle w:val="null3"/>
      </w:pPr>
      <w:r>
        <w:rPr>
          <w:rFonts w:ascii="仿宋_GB2312" w:hAnsi="仿宋_GB2312" w:cs="仿宋_GB2312" w:eastAsia="仿宋_GB2312"/>
        </w:rPr>
        <w:t>采购包最高限价（元）: 1,506,501.40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村组道路恢复工程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标的名称：村组道路恢复工程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一、计划工期</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45</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b/>
              </w:rPr>
              <w:t>二、质保期：</w:t>
            </w:r>
          </w:p>
          <w:p>
            <w:pPr>
              <w:pStyle w:val="null3"/>
              <w:ind w:firstLine="480"/>
              <w:jc w:val="both"/>
            </w:pP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b/>
              </w:rPr>
              <w:t>三、缺陷责任期：</w:t>
            </w:r>
          </w:p>
          <w:p>
            <w:pPr>
              <w:pStyle w:val="null3"/>
              <w:ind w:firstLine="480"/>
              <w:jc w:val="both"/>
            </w:pPr>
            <w:r>
              <w:rPr>
                <w:rFonts w:ascii="仿宋_GB2312" w:hAnsi="仿宋_GB2312" w:cs="仿宋_GB2312" w:eastAsia="仿宋_GB2312"/>
                <w:sz w:val="24"/>
              </w:rPr>
              <w:t>自竣工验收之日起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四、付款条件及比例：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合同签订后，甲方向乙方支付合同价款的</w:t>
            </w:r>
            <w:r>
              <w:rPr>
                <w:rFonts w:ascii="仿宋_GB2312" w:hAnsi="仿宋_GB2312" w:cs="仿宋_GB2312" w:eastAsia="仿宋_GB2312"/>
                <w:sz w:val="24"/>
                <w:u w:val="single"/>
              </w:rPr>
              <w:t>40</w:t>
            </w:r>
            <w:r>
              <w:rPr>
                <w:rFonts w:ascii="仿宋_GB2312" w:hAnsi="仿宋_GB2312" w:cs="仿宋_GB2312" w:eastAsia="仿宋_GB2312"/>
                <w:sz w:val="24"/>
                <w:u w:val="single"/>
              </w:rPr>
              <w:t>%</w:t>
            </w:r>
            <w:r>
              <w:rPr>
                <w:rFonts w:ascii="仿宋_GB2312" w:hAnsi="仿宋_GB2312" w:cs="仿宋_GB2312" w:eastAsia="仿宋_GB2312"/>
                <w:sz w:val="24"/>
              </w:rPr>
              <w:t>作为</w:t>
            </w:r>
            <w:r>
              <w:rPr>
                <w:rFonts w:ascii="仿宋_GB2312" w:hAnsi="仿宋_GB2312" w:cs="仿宋_GB2312" w:eastAsia="仿宋_GB2312"/>
                <w:sz w:val="24"/>
              </w:rPr>
              <w:t>预付</w:t>
            </w:r>
            <w:r>
              <w:rPr>
                <w:rFonts w:ascii="仿宋_GB2312" w:hAnsi="仿宋_GB2312" w:cs="仿宋_GB2312" w:eastAsia="仿宋_GB2312"/>
                <w:sz w:val="24"/>
              </w:rPr>
              <w:t>款。</w:t>
            </w:r>
          </w:p>
          <w:p>
            <w:pPr>
              <w:pStyle w:val="null3"/>
              <w:ind w:firstLine="480"/>
              <w:jc w:val="both"/>
            </w:pPr>
            <w:r>
              <w:rPr>
                <w:rFonts w:ascii="仿宋_GB2312" w:hAnsi="仿宋_GB2312" w:cs="仿宋_GB2312" w:eastAsia="仿宋_GB2312"/>
                <w:sz w:val="24"/>
              </w:rPr>
              <w:t>2、乙方完成合同工程量65%时，甲方向乙方支付至合同总价款的65%作为工程进度款。</w:t>
            </w:r>
          </w:p>
          <w:p>
            <w:pPr>
              <w:pStyle w:val="null3"/>
              <w:ind w:firstLine="480"/>
              <w:jc w:val="both"/>
            </w:pPr>
            <w:r>
              <w:rPr>
                <w:rFonts w:ascii="仿宋_GB2312" w:hAnsi="仿宋_GB2312" w:cs="仿宋_GB2312" w:eastAsia="仿宋_GB2312"/>
                <w:sz w:val="24"/>
              </w:rPr>
              <w:t>3、乙方完成全部工程量时，经甲方组织有关部门验收合格后，支付至合同总价款的85%。</w:t>
            </w:r>
          </w:p>
          <w:p>
            <w:pPr>
              <w:pStyle w:val="null3"/>
              <w:ind w:firstLine="480"/>
              <w:jc w:val="both"/>
            </w:pPr>
            <w:r>
              <w:rPr>
                <w:rFonts w:ascii="仿宋_GB2312" w:hAnsi="仿宋_GB2312" w:cs="仿宋_GB2312" w:eastAsia="仿宋_GB2312"/>
                <w:sz w:val="24"/>
              </w:rPr>
              <w:t>4、经政府相关审计部门审计完成后，</w:t>
            </w:r>
            <w:r>
              <w:rPr>
                <w:rFonts w:ascii="仿宋_GB2312" w:hAnsi="仿宋_GB2312" w:cs="仿宋_GB2312" w:eastAsia="仿宋_GB2312"/>
                <w:sz w:val="24"/>
              </w:rPr>
              <w:t>支付</w:t>
            </w:r>
            <w:r>
              <w:rPr>
                <w:rFonts w:ascii="仿宋_GB2312" w:hAnsi="仿宋_GB2312" w:cs="仿宋_GB2312" w:eastAsia="仿宋_GB2312"/>
                <w:sz w:val="24"/>
              </w:rPr>
              <w:t>至审计结算价款</w:t>
            </w:r>
            <w:r>
              <w:rPr>
                <w:rFonts w:ascii="仿宋_GB2312" w:hAnsi="仿宋_GB2312" w:cs="仿宋_GB2312" w:eastAsia="仿宋_GB2312"/>
                <w:sz w:val="24"/>
              </w:rPr>
              <w:t>的</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b/>
              </w:rPr>
              <w:t>五、质量要求</w:t>
            </w:r>
          </w:p>
          <w:p>
            <w:pPr>
              <w:pStyle w:val="null3"/>
              <w:jc w:val="left"/>
            </w:pPr>
            <w:r>
              <w:rPr>
                <w:rFonts w:ascii="仿宋_GB2312" w:hAnsi="仿宋_GB2312" w:cs="仿宋_GB2312" w:eastAsia="仿宋_GB2312"/>
                <w:sz w:val="24"/>
              </w:rPr>
              <w:t>达到国家现行行业施工验收规范</w:t>
            </w:r>
            <w:r>
              <w:rPr>
                <w:rFonts w:ascii="仿宋_GB2312" w:hAnsi="仿宋_GB2312" w:cs="仿宋_GB2312" w:eastAsia="仿宋_GB2312"/>
                <w:sz w:val="24"/>
              </w:rPr>
              <w:t>“合格”标准。</w:t>
            </w:r>
          </w:p>
          <w:p>
            <w:pPr>
              <w:pStyle w:val="null3"/>
              <w:jc w:val="left"/>
            </w:pPr>
            <w:r>
              <w:rPr>
                <w:rFonts w:ascii="仿宋_GB2312" w:hAnsi="仿宋_GB2312" w:cs="仿宋_GB2312" w:eastAsia="仿宋_GB2312"/>
                <w:sz w:val="24"/>
                <w:b/>
              </w:rPr>
              <w:t>六、合同定价方式</w:t>
            </w:r>
          </w:p>
          <w:p>
            <w:pPr>
              <w:pStyle w:val="null3"/>
              <w:jc w:val="both"/>
            </w:pPr>
            <w:r>
              <w:rPr>
                <w:rFonts w:ascii="仿宋_GB2312" w:hAnsi="仿宋_GB2312" w:cs="仿宋_GB2312" w:eastAsia="仿宋_GB2312"/>
                <w:sz w:val="24"/>
              </w:rPr>
              <w:t>本合同价款采用</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（2）提供2023或2024年度经审计的财务报告（成立时间至提交磋商响应文件截止时间不足一年的可提供成立后任意时段的资产负债表），或磋商响应文件递交截止日前六个月内银行出具的资信证明；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技术方案内容完全满足所有评审标准得8.5分；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2022年04月01日（以合同签订日期为准）类似项目业绩（以合同复印件或扫描件加盖公章为准）每个有效业绩得1分，满分共计3分。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