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版本号：SDZC2025-03620250324001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2024年部分省级农业专项资金项目（粮油绿色高效提单产）(二次)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SDZC2025-036</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2024年部分省级农业专项资金项目（粮油绿色高效提单产）(二次)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2024年部分省级农业专项资金项目（粮油绿色高效提单产）(二次)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建立小麦万亩示范区2个、玉米万亩示范区1个，油菜示范0.24万亩，实现示范区增产增收，采购种子、肥料、除草剂等农资。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采购包1（第二标段：汤峪镇（小麦田））：属于专门面向中小企业采购。</w:t>
      </w:r>
    </w:p>
    <w:p>
      <w:pPr>
        <w:pStyle w:val="null3"/>
      </w:pPr>
      <w:r>
        <w:rPr>
          <w:rFonts w:ascii="仿宋_GB2312" w:hAnsi="仿宋_GB2312" w:cs="仿宋_GB2312" w:eastAsia="仿宋_GB2312"/>
        </w:rPr>
        <w:t>采购包2（第三标段：汤峪镇（玉米田））：属于专门面向中小企业采购。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p>
      <w:pPr>
        <w:pStyle w:val="null3"/>
      </w:pPr>
      <w:r>
        <w:rPr>
          <w:rFonts w:ascii="仿宋_GB2312" w:hAnsi="仿宋_GB2312" w:cs="仿宋_GB2312" w:eastAsia="仿宋_GB2312"/>
        </w:rPr>
        <w:t>8、供应商为生产厂家的提供有效期内的肥料登记证或农业农村部登记备案证明；供应商为代理商的提供厂家的肥料登记证或备案证明材料 ：供应商为生产厂家的提供有效期内的肥料登记证或农业农村部登记备案证明；供应商为代理商的提供厂家的肥料登记证或备案证明材料。</w:t>
      </w:r>
    </w:p>
    <w:p>
      <w:pPr>
        <w:pStyle w:val="null3"/>
      </w:pPr>
      <w:r>
        <w:rPr>
          <w:rFonts w:ascii="仿宋_GB2312" w:hAnsi="仿宋_GB2312" w:cs="仿宋_GB2312" w:eastAsia="仿宋_GB2312"/>
        </w:rPr>
        <w:t>9、供应商提供农作物种子生产经营许可证：供应商提供农作物种子生产经营许可证；</w:t>
      </w:r>
    </w:p>
    <w:p>
      <w:pPr>
        <w:pStyle w:val="null3"/>
      </w:pPr>
      <w:r>
        <w:rPr>
          <w:rFonts w:ascii="仿宋_GB2312" w:hAnsi="仿宋_GB2312" w:cs="仿宋_GB2312" w:eastAsia="仿宋_GB2312"/>
        </w:rPr>
        <w:t>10、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rFonts w:ascii="仿宋_GB2312" w:hAnsi="仿宋_GB2312" w:cs="仿宋_GB2312" w:eastAsia="仿宋_GB2312"/>
        </w:rPr>
        <w:t>11、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p>
      <w:pPr>
        <w:pStyle w:val="null3"/>
      </w:pPr>
      <w:r>
        <w:rPr>
          <w:rFonts w:ascii="仿宋_GB2312" w:hAnsi="仿宋_GB2312" w:cs="仿宋_GB2312" w:eastAsia="仿宋_GB2312"/>
        </w:rPr>
        <w:t>8、供应商为生产厂家的提供有效期内的肥料登记证或农业农村部登记备案证明；供应商为代理商的提供厂家的肥料登记证或备案证明材料 ：供应商为生产厂家的提供有效期内的肥料登记证或农业农村部登记备案证明；供应商为代理商的提供厂家的肥料登记证或备案证明材料。</w:t>
      </w:r>
    </w:p>
    <w:p>
      <w:pPr>
        <w:pStyle w:val="null3"/>
      </w:pPr>
      <w:r>
        <w:rPr>
          <w:rFonts w:ascii="仿宋_GB2312" w:hAnsi="仿宋_GB2312" w:cs="仿宋_GB2312" w:eastAsia="仿宋_GB2312"/>
        </w:rPr>
        <w:t>9、供应商提供农作物种子生产经营许可证：供应商提供农作物种子生产经营许可证；</w:t>
      </w:r>
    </w:p>
    <w:p>
      <w:pPr>
        <w:pStyle w:val="null3"/>
      </w:pPr>
      <w:r>
        <w:rPr>
          <w:rFonts w:ascii="仿宋_GB2312" w:hAnsi="仿宋_GB2312" w:cs="仿宋_GB2312" w:eastAsia="仿宋_GB2312"/>
        </w:rPr>
        <w:t>10、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rFonts w:ascii="仿宋_GB2312" w:hAnsi="仿宋_GB2312" w:cs="仿宋_GB2312" w:eastAsia="仿宋_GB2312"/>
        </w:rPr>
        <w:t>11、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15129569522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029-86518381、029-89299829、029-89293231 转8011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p>
          <w:p>
            <w:pPr>
              <w:pStyle w:val="null3"/>
            </w:pPr>
            <w:r>
              <w:rPr>
                <w:rFonts w:ascii="仿宋_GB2312" w:hAnsi="仿宋_GB2312" w:cs="仿宋_GB2312" w:eastAsia="仿宋_GB2312"/>
              </w:rPr>
              <w:t>采购包2：465,000.00元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 户 行：西安银行股份有限公司文景路支行 3.帐 号：7070 1151 0000 0135 22 财务部联系方式：029-86673953、86518381、89299829、89293231 转8033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采购人应按照采购文件技术等内容对供应商的履约情况进行验收。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采购人应按照采购文件技术等内容对供应商的履约情况进行验收。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联系人：宋芳芳(11号工位)</w:t>
      </w:r>
    </w:p>
    <w:p>
      <w:pPr>
        <w:pStyle w:val="null3"/>
      </w:pPr>
      <w:r>
        <w:rPr>
          <w:rFonts w:ascii="仿宋_GB2312" w:hAnsi="仿宋_GB2312" w:cs="仿宋_GB2312" w:eastAsia="仿宋_GB2312"/>
        </w:rPr>
        <w:t>联系电话：029-86673953、029-86518381、029-89299829、029-89293231 转8011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建立小麦万亩示范区2个、玉米万亩示范区1个，油菜示范0.24万亩，实现示范区增产增收，采购种子、肥料、除草剂等农资。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第二标段：汤峪镇（小麦田）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第三标段：汤峪镇（玉米田）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标的名称：第二标段：汤峪镇（小麦田）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种子</w:t>
                  </w:r>
                </w:p>
              </w:tc>
              <w:tc>
                <w:tcPr>
                  <w:tcW w:type="dxa" w:w="465"/>
                </w:tcPr>
                <w:p>
                  <w:pPr>
                    <w:pStyle w:val="null3"/>
                  </w:pPr>
                  <w:r>
                    <w:rPr>
                      <w:rFonts w:ascii="仿宋_GB2312" w:hAnsi="仿宋_GB2312" w:cs="仿宋_GB2312" w:eastAsia="仿宋_GB2312"/>
                    </w:rPr>
                    <w:t>小麦</w:t>
                  </w:r>
                </w:p>
              </w:tc>
              <w:tc>
                <w:tcPr>
                  <w:tcW w:type="dxa" w:w="465"/>
                </w:tcPr>
                <w:p>
                  <w:pPr>
                    <w:pStyle w:val="null3"/>
                  </w:pPr>
                  <w:r>
                    <w:rPr>
                      <w:rFonts w:ascii="仿宋_GB2312" w:hAnsi="仿宋_GB2312" w:cs="仿宋_GB2312" w:eastAsia="仿宋_GB2312"/>
                    </w:rPr>
                    <w:t>30吨</w:t>
                  </w:r>
                </w:p>
              </w:tc>
              <w:tc>
                <w:tcPr>
                  <w:tcW w:type="dxa" w:w="465"/>
                </w:tcPr>
                <w:p>
                  <w:pPr>
                    <w:pStyle w:val="null3"/>
                  </w:pPr>
                  <w:r>
                    <w:rPr>
                      <w:rFonts w:ascii="仿宋_GB2312" w:hAnsi="仿宋_GB2312" w:cs="仿宋_GB2312" w:eastAsia="仿宋_GB2312"/>
                    </w:rPr>
                    <w:t>纯度≥97.0%，净度≥99.0%，发芽率≥85%，水分≤13.0%，执行标准GB1315-2008（小麦品种符合市农技发【2024】91号推荐品种及适宜蓝田地区种植品种）。</w:t>
                  </w:r>
                </w:p>
              </w:tc>
            </w:tr>
            <w:tr>
              <w:tc>
                <w:tcPr>
                  <w:tcW w:type="dxa" w:w="465"/>
                  <w:vMerge w:val="restart"/>
                </w:tcPr>
                <w:p>
                  <w:pPr>
                    <w:pStyle w:val="null3"/>
                  </w:pPr>
                  <w:r>
                    <w:rPr>
                      <w:rFonts w:ascii="仿宋_GB2312" w:hAnsi="仿宋_GB2312" w:cs="仿宋_GB2312" w:eastAsia="仿宋_GB2312"/>
                    </w:rPr>
                    <w:t>肥料</w:t>
                  </w:r>
                </w:p>
              </w:tc>
              <w:tc>
                <w:tcPr>
                  <w:tcW w:type="dxa" w:w="465"/>
                </w:tcPr>
                <w:p>
                  <w:pPr>
                    <w:pStyle w:val="null3"/>
                  </w:pPr>
                  <w:r>
                    <w:rPr>
                      <w:rFonts w:ascii="仿宋_GB2312" w:hAnsi="仿宋_GB2312" w:cs="仿宋_GB2312" w:eastAsia="仿宋_GB2312"/>
                    </w:rPr>
                    <w:t>配方肥</w:t>
                  </w:r>
                </w:p>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20吨</w:t>
                  </w:r>
                </w:p>
              </w:tc>
              <w:tc>
                <w:tcPr>
                  <w:tcW w:type="dxa" w:w="465"/>
                </w:tcPr>
                <w:p>
                  <w:pPr>
                    <w:pStyle w:val="null3"/>
                  </w:pPr>
                  <w:r>
                    <w:rPr>
                      <w:rFonts w:ascii="仿宋_GB2312" w:hAnsi="仿宋_GB2312" w:cs="仿宋_GB2312" w:eastAsia="仿宋_GB2312"/>
                    </w:rPr>
                    <w:t>总养分≥45.0%，N≥22， 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≥14， K</w:t>
                  </w:r>
                  <w:r>
                    <w:rPr>
                      <w:rFonts w:ascii="仿宋_GB2312" w:hAnsi="仿宋_GB2312" w:cs="仿宋_GB2312" w:eastAsia="仿宋_GB2312"/>
                      <w:vertAlign w:val="subscript"/>
                    </w:rPr>
                    <w:t>2</w:t>
                  </w:r>
                  <w:r>
                    <w:rPr>
                      <w:rFonts w:ascii="仿宋_GB2312" w:hAnsi="仿宋_GB2312" w:cs="仿宋_GB2312" w:eastAsia="仿宋_GB2312"/>
                    </w:rPr>
                    <w:t>O≥5，包装40KG/袋，执行标准GB/T15063-2020。</w:t>
                  </w:r>
                </w:p>
              </w:tc>
            </w:tr>
            <w:tr>
              <w:tc>
                <w:tcPr>
                  <w:tcW w:type="dxa" w:w="465"/>
                  <w:vMerge/>
                </w:tcPr>
                <w:p/>
              </w:tc>
              <w:tc>
                <w:tcPr>
                  <w:tcW w:type="dxa" w:w="465"/>
                </w:tcPr>
                <w:p>
                  <w:pPr>
                    <w:pStyle w:val="null3"/>
                  </w:pPr>
                  <w:r>
                    <w:rPr>
                      <w:rFonts w:ascii="仿宋_GB2312" w:hAnsi="仿宋_GB2312" w:cs="仿宋_GB2312" w:eastAsia="仿宋_GB2312"/>
                    </w:rPr>
                    <w:t>尿素</w:t>
                  </w:r>
                </w:p>
              </w:tc>
              <w:tc>
                <w:tcPr>
                  <w:tcW w:type="dxa" w:w="465"/>
                </w:tcPr>
                <w:p>
                  <w:pPr>
                    <w:pStyle w:val="null3"/>
                  </w:pPr>
                  <w:r>
                    <w:rPr>
                      <w:rFonts w:ascii="仿宋_GB2312" w:hAnsi="仿宋_GB2312" w:cs="仿宋_GB2312" w:eastAsia="仿宋_GB2312"/>
                    </w:rPr>
                    <w:t>38吨</w:t>
                  </w:r>
                </w:p>
              </w:tc>
              <w:tc>
                <w:tcPr>
                  <w:tcW w:type="dxa" w:w="465"/>
                </w:tcPr>
                <w:p>
                  <w:pPr>
                    <w:pStyle w:val="null3"/>
                  </w:pPr>
                  <w:r>
                    <w:rPr>
                      <w:rFonts w:ascii="仿宋_GB2312" w:hAnsi="仿宋_GB2312" w:cs="仿宋_GB2312" w:eastAsia="仿宋_GB2312"/>
                    </w:rPr>
                    <w:t>总氮含量≥46%，粒度范围：d 0.85mm-2.80mm，执行标准GB/T2440-2017。</w:t>
                  </w:r>
                </w:p>
              </w:tc>
            </w:tr>
            <w:tr>
              <w:tc>
                <w:tcPr>
                  <w:tcW w:type="dxa" w:w="465"/>
                  <w:vMerge w:val="restart"/>
                </w:tcPr>
                <w:p>
                  <w:pPr>
                    <w:pStyle w:val="null3"/>
                  </w:pPr>
                  <w:r>
                    <w:rPr>
                      <w:rFonts w:ascii="仿宋_GB2312" w:hAnsi="仿宋_GB2312" w:cs="仿宋_GB2312" w:eastAsia="仿宋_GB2312"/>
                    </w:rPr>
                    <w:t>除草剂</w:t>
                  </w: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唑草·苯磺隆(唑草酮+苯磺隆的二元复配制剂)，药剂总有效成分亩用量≥1.8克，以亩用药剂产品数量为单位包装。</w:t>
                  </w:r>
                </w:p>
              </w:tc>
            </w:tr>
            <w:tr>
              <w:tc>
                <w:tcPr>
                  <w:tcW w:type="dxa" w:w="465"/>
                  <w:vMerge/>
                </w:tcP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炔草酯，药剂有效成分亩用量≥3克，以亩用药剂产品数量为单位包装。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注：核心产品除草剂（唑草·苯磺隆）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标的名称：第三标段：汤峪镇（玉米田）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种子</w:t>
                  </w:r>
                </w:p>
              </w:tc>
              <w:tc>
                <w:tcPr>
                  <w:tcW w:type="dxa" w:w="465"/>
                </w:tcPr>
                <w:p>
                  <w:pPr>
                    <w:pStyle w:val="null3"/>
                  </w:pPr>
                  <w:r>
                    <w:rPr>
                      <w:rFonts w:ascii="仿宋_GB2312" w:hAnsi="仿宋_GB2312" w:cs="仿宋_GB2312" w:eastAsia="仿宋_GB2312"/>
                    </w:rPr>
                    <w:t>玉米</w:t>
                  </w:r>
                </w:p>
              </w:tc>
              <w:tc>
                <w:tcPr>
                  <w:tcW w:type="dxa" w:w="465"/>
                </w:tcPr>
                <w:p>
                  <w:pPr>
                    <w:pStyle w:val="null3"/>
                  </w:pPr>
                  <w:r>
                    <w:rPr>
                      <w:rFonts w:ascii="仿宋_GB2312" w:hAnsi="仿宋_GB2312" w:cs="仿宋_GB2312" w:eastAsia="仿宋_GB2312"/>
                    </w:rPr>
                    <w:t>3000袋</w:t>
                  </w:r>
                </w:p>
              </w:tc>
              <w:tc>
                <w:tcPr>
                  <w:tcW w:type="dxa" w:w="465"/>
                </w:tcPr>
                <w:p>
                  <w:pPr>
                    <w:pStyle w:val="null3"/>
                  </w:pPr>
                  <w:r>
                    <w:rPr>
                      <w:rFonts w:ascii="仿宋_GB2312" w:hAnsi="仿宋_GB2312" w:cs="仿宋_GB2312" w:eastAsia="仿宋_GB2312"/>
                    </w:rPr>
                    <w:t>每袋≥4000粒，纯度≥97.0%，净度≥99.0%，发芽率≥93%，水分≤13.0%，执行标准GB4404.1-2008（玉米品种符合市农技发【2024】58号推荐耐密品种及适宜蓝田地区种植品种）。</w:t>
                  </w:r>
                </w:p>
              </w:tc>
            </w:tr>
            <w:tr>
              <w:tc>
                <w:tcPr>
                  <w:tcW w:type="dxa" w:w="465"/>
                  <w:vMerge w:val="restart"/>
                </w:tcPr>
                <w:p>
                  <w:pPr>
                    <w:pStyle w:val="null3"/>
                  </w:pPr>
                  <w:r>
                    <w:rPr>
                      <w:rFonts w:ascii="仿宋_GB2312" w:hAnsi="仿宋_GB2312" w:cs="仿宋_GB2312" w:eastAsia="仿宋_GB2312"/>
                    </w:rPr>
                    <w:t>肥料</w:t>
                  </w:r>
                </w:p>
              </w:tc>
              <w:tc>
                <w:tcPr>
                  <w:tcW w:type="dxa" w:w="465"/>
                </w:tcPr>
                <w:p>
                  <w:pPr>
                    <w:pStyle w:val="null3"/>
                  </w:pPr>
                  <w:r>
                    <w:rPr>
                      <w:rFonts w:ascii="仿宋_GB2312" w:hAnsi="仿宋_GB2312" w:cs="仿宋_GB2312" w:eastAsia="仿宋_GB2312"/>
                    </w:rPr>
                    <w:t>控释肥</w:t>
                  </w:r>
                </w:p>
                <w:p>
                  <w:pPr>
                    <w:pStyle w:val="null3"/>
                  </w:pPr>
                  <w:r>
                    <w:rPr>
                      <w:rFonts w:ascii="仿宋_GB2312" w:hAnsi="仿宋_GB2312" w:cs="仿宋_GB2312" w:eastAsia="仿宋_GB2312"/>
                    </w:rPr>
                    <w:t>(玉米田)</w:t>
                  </w:r>
                </w:p>
              </w:tc>
              <w:tc>
                <w:tcPr>
                  <w:tcW w:type="dxa" w:w="465"/>
                </w:tcPr>
                <w:p>
                  <w:pPr>
                    <w:pStyle w:val="null3"/>
                  </w:pPr>
                  <w:r>
                    <w:rPr>
                      <w:rFonts w:ascii="仿宋_GB2312" w:hAnsi="仿宋_GB2312" w:cs="仿宋_GB2312" w:eastAsia="仿宋_GB2312"/>
                    </w:rPr>
                    <w:t>20吨</w:t>
                  </w:r>
                </w:p>
              </w:tc>
              <w:tc>
                <w:tcPr>
                  <w:tcW w:type="dxa" w:w="465"/>
                </w:tcPr>
                <w:p>
                  <w:pPr>
                    <w:pStyle w:val="null3"/>
                  </w:pPr>
                  <w:r>
                    <w:rPr>
                      <w:rFonts w:ascii="仿宋_GB2312" w:hAnsi="仿宋_GB2312" w:cs="仿宋_GB2312" w:eastAsia="仿宋_GB2312"/>
                    </w:rPr>
                    <w:t>总养分≥42.0%，N≥20，P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≥6，K</w:t>
                  </w:r>
                  <w:r>
                    <w:rPr>
                      <w:rFonts w:ascii="仿宋_GB2312" w:hAnsi="仿宋_GB2312" w:cs="仿宋_GB2312" w:eastAsia="仿宋_GB2312"/>
                      <w:vertAlign w:val="subscript"/>
                    </w:rPr>
                    <w:t>2</w:t>
                  </w:r>
                  <w:r>
                    <w:rPr>
                      <w:rFonts w:ascii="仿宋_GB2312" w:hAnsi="仿宋_GB2312" w:cs="仿宋_GB2312" w:eastAsia="仿宋_GB2312"/>
                    </w:rPr>
                    <w:t>O≥6，执行标准GB/T23348-2009。</w:t>
                  </w:r>
                </w:p>
              </w:tc>
            </w:tr>
            <w:tr>
              <w:tc>
                <w:tcPr>
                  <w:tcW w:type="dxa" w:w="465"/>
                  <w:vMerge/>
                </w:tcPr>
                <w:p/>
              </w:tc>
              <w:tc>
                <w:tcPr>
                  <w:tcW w:type="dxa" w:w="465"/>
                </w:tcPr>
                <w:p>
                  <w:pPr>
                    <w:pStyle w:val="null3"/>
                  </w:pPr>
                  <w:r>
                    <w:rPr>
                      <w:rFonts w:ascii="仿宋_GB2312" w:hAnsi="仿宋_GB2312" w:cs="仿宋_GB2312" w:eastAsia="仿宋_GB2312"/>
                    </w:rPr>
                    <w:t>尿素</w:t>
                  </w:r>
                </w:p>
              </w:tc>
              <w:tc>
                <w:tcPr>
                  <w:tcW w:type="dxa" w:w="465"/>
                </w:tcPr>
                <w:p>
                  <w:pPr>
                    <w:pStyle w:val="null3"/>
                  </w:pPr>
                  <w:r>
                    <w:rPr>
                      <w:rFonts w:ascii="仿宋_GB2312" w:hAnsi="仿宋_GB2312" w:cs="仿宋_GB2312" w:eastAsia="仿宋_GB2312"/>
                    </w:rPr>
                    <w:t>30吨</w:t>
                  </w:r>
                </w:p>
              </w:tc>
              <w:tc>
                <w:tcPr>
                  <w:tcW w:type="dxa" w:w="465"/>
                </w:tcPr>
                <w:p>
                  <w:pPr>
                    <w:pStyle w:val="null3"/>
                  </w:pPr>
                  <w:r>
                    <w:rPr>
                      <w:rFonts w:ascii="仿宋_GB2312" w:hAnsi="仿宋_GB2312" w:cs="仿宋_GB2312" w:eastAsia="仿宋_GB2312"/>
                    </w:rPr>
                    <w:t>总氮含量≥46%，粒度范围：d 0.85mm-2.80mm，执行标准GB/T2440-2017。</w:t>
                  </w:r>
                </w:p>
              </w:tc>
            </w:tr>
            <w:tr>
              <w:tc>
                <w:tcPr>
                  <w:tcW w:type="dxa" w:w="465"/>
                </w:tcPr>
                <w:p>
                  <w:pPr>
                    <w:pStyle w:val="null3"/>
                  </w:pPr>
                  <w:r>
                    <w:rPr>
                      <w:rFonts w:ascii="仿宋_GB2312" w:hAnsi="仿宋_GB2312" w:cs="仿宋_GB2312" w:eastAsia="仿宋_GB2312"/>
                    </w:rPr>
                    <w:t>除草剂</w:t>
                  </w:r>
                </w:p>
              </w:tc>
              <w:tc>
                <w:tcPr>
                  <w:tcW w:type="dxa" w:w="465"/>
                </w:tcPr>
                <w:p>
                  <w:pPr>
                    <w:pStyle w:val="null3"/>
                  </w:pPr>
                  <w:r>
                    <w:rPr>
                      <w:rFonts w:ascii="仿宋_GB2312" w:hAnsi="仿宋_GB2312" w:cs="仿宋_GB2312" w:eastAsia="仿宋_GB2312"/>
                    </w:rPr>
                    <w:t>玉米田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硝·烟·莠去津（硝磺草酮+烟嘧磺隆+莠去津的三元复配制剂），药剂总有效成分亩用量≥30 ml，以亩用药剂产品数量为单位包装。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注：核心产品除草剂（硝·烟·莠去津）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2025年9月底交货完毕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2025年6月初交货完毕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汤峪镇（小麦田）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汤峪镇（玉米田）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3.2产品的合法来源渠道证明文件、功能证明材料； 3.3竞争性谈判文件； 3.4竞争性谈判响应文件； 3.5合同货物清单； 3.6生产厂家的企业资质等。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3.2产品的合法来源渠道证明文件、功能证明材料；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1.产品的合法来源渠道证明文件（包括但不限于原厂授权、代理协议、销售协议等）； 2.生产厂家确认的、相应的功能证明材料（包括但不限于测试报告、官网和功能截图等）。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1.产品的合法来源渠道证明文件（包括但不限于原厂授权、代理协议、销售协议等）； 2.生产厂家确认的、相应的功能证明材料（包括但不限于测试报告、官网和功能截图等）。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332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供应商提供农作物种子生产经营许可证</w:t>
            </w:r>
          </w:p>
        </w:tc>
        <w:tc>
          <w:tcPr>
            <w:tcW w:type="dxa" w:w="3322"/>
          </w:tcPr>
          <w:p>
            <w:pPr>
              <w:pStyle w:val="null3"/>
            </w:pPr>
            <w:r>
              <w:rPr>
                <w:rFonts w:ascii="仿宋_GB2312" w:hAnsi="仿宋_GB2312" w:cs="仿宋_GB2312" w:eastAsia="仿宋_GB2312"/>
              </w:rPr>
              <w:t>供应商提供农作物种子生产经营许可证；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332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332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供应商提供农作物种子生产经营许可证</w:t>
            </w:r>
          </w:p>
        </w:tc>
        <w:tc>
          <w:tcPr>
            <w:tcW w:type="dxa" w:w="3322"/>
          </w:tcPr>
          <w:p>
            <w:pPr>
              <w:pStyle w:val="null3"/>
            </w:pPr>
            <w:r>
              <w:rPr>
                <w:rFonts w:ascii="仿宋_GB2312" w:hAnsi="仿宋_GB2312" w:cs="仿宋_GB2312" w:eastAsia="仿宋_GB2312"/>
              </w:rPr>
              <w:t>供应商提供农作物种子生产经营许可证；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332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技术规格响应偏离表.docx 中小企业声明函 授权委托书.docx 标的清单 商务条款响应偏离表.docx 分项报价.docx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商务条款响应偏离表.docx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残疾人福利性单位声明函 中小企业声明函 供应商参与政府采购活动的承诺函.docx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残疾人福利性单位声明函 中小企业声明函 授权委托书.docx 标的清单 分项报价.docx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