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58881">
      <w:pPr>
        <w:spacing w:line="360" w:lineRule="auto"/>
        <w:jc w:val="center"/>
        <w:rPr>
          <w:rFonts w:hint="eastAsia"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2023年垃圾焚烧生态补偿费(2024年农村公厕建设)</w:t>
      </w:r>
    </w:p>
    <w:p w14:paraId="425D4D9F">
      <w:pPr>
        <w:spacing w:line="360" w:lineRule="auto"/>
        <w:jc w:val="center"/>
        <w:rPr>
          <w:rFonts w:hint="default"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采购需求书（工程类）</w:t>
      </w:r>
    </w:p>
    <w:tbl>
      <w:tblPr>
        <w:tblStyle w:val="9"/>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8"/>
        <w:gridCol w:w="7060"/>
      </w:tblGrid>
      <w:tr w14:paraId="77FD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E3065D">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序号</w:t>
            </w:r>
          </w:p>
        </w:tc>
        <w:tc>
          <w:tcPr>
            <w:tcW w:w="1518" w:type="dxa"/>
            <w:vAlign w:val="center"/>
          </w:tcPr>
          <w:p w14:paraId="00543F0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关键事项</w:t>
            </w:r>
          </w:p>
        </w:tc>
        <w:tc>
          <w:tcPr>
            <w:tcW w:w="7060" w:type="dxa"/>
            <w:vAlign w:val="center"/>
          </w:tcPr>
          <w:p w14:paraId="5A8A8D4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说明和要求</w:t>
            </w:r>
          </w:p>
        </w:tc>
      </w:tr>
      <w:tr w14:paraId="4E32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CBD663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w:t>
            </w:r>
          </w:p>
        </w:tc>
        <w:tc>
          <w:tcPr>
            <w:tcW w:w="1518" w:type="dxa"/>
            <w:vAlign w:val="center"/>
          </w:tcPr>
          <w:p w14:paraId="485BEED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采购预算</w:t>
            </w:r>
          </w:p>
        </w:tc>
        <w:tc>
          <w:tcPr>
            <w:tcW w:w="7060" w:type="dxa"/>
          </w:tcPr>
          <w:p w14:paraId="25D28D6F">
            <w:pPr>
              <w:spacing w:line="360" w:lineRule="auto"/>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人民币</w:t>
            </w:r>
            <w:r>
              <w:rPr>
                <w:rFonts w:hint="eastAsia" w:ascii="楷体" w:hAnsi="楷体" w:eastAsia="楷体" w:cs="楷体"/>
                <w:b/>
                <w:bCs/>
                <w:color w:val="auto"/>
                <w:sz w:val="28"/>
                <w:szCs w:val="28"/>
                <w:highlight w:val="none"/>
                <w:u w:val="single"/>
                <w:vertAlign w:val="baseline"/>
                <w:lang w:val="en-US" w:eastAsia="zh-CN"/>
              </w:rPr>
              <w:t xml:space="preserve"> 2000000.00</w:t>
            </w:r>
            <w:r>
              <w:rPr>
                <w:rFonts w:hint="eastAsia" w:ascii="楷体" w:hAnsi="楷体" w:eastAsia="楷体" w:cs="楷体"/>
                <w:color w:val="auto"/>
                <w:sz w:val="28"/>
                <w:szCs w:val="28"/>
                <w:highlight w:val="none"/>
                <w:u w:val="single"/>
                <w:vertAlign w:val="baseline"/>
                <w:lang w:val="en-US" w:eastAsia="zh-CN"/>
              </w:rPr>
              <w:t xml:space="preserve"> </w:t>
            </w:r>
            <w:r>
              <w:rPr>
                <w:rFonts w:hint="eastAsia" w:ascii="楷体" w:hAnsi="楷体" w:eastAsia="楷体" w:cs="楷体"/>
                <w:color w:val="auto"/>
                <w:sz w:val="28"/>
                <w:szCs w:val="28"/>
                <w:highlight w:val="none"/>
                <w:vertAlign w:val="baseline"/>
                <w:lang w:val="en-US" w:eastAsia="zh-CN"/>
              </w:rPr>
              <w:t>元</w:t>
            </w:r>
          </w:p>
          <w:p w14:paraId="6E79EDD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1C8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725854F">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w:t>
            </w:r>
          </w:p>
        </w:tc>
        <w:tc>
          <w:tcPr>
            <w:tcW w:w="1518" w:type="dxa"/>
            <w:vAlign w:val="center"/>
          </w:tcPr>
          <w:p w14:paraId="25E5D365">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最高限价</w:t>
            </w:r>
          </w:p>
        </w:tc>
        <w:tc>
          <w:tcPr>
            <w:tcW w:w="7060" w:type="dxa"/>
          </w:tcPr>
          <w:p w14:paraId="2A3ABF4E">
            <w:pPr>
              <w:spacing w:line="360" w:lineRule="auto"/>
              <w:jc w:val="left"/>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b/>
                <w:bCs/>
                <w:color w:val="auto"/>
                <w:sz w:val="28"/>
                <w:szCs w:val="28"/>
                <w:highlight w:val="none"/>
                <w:u w:val="single"/>
                <w:vertAlign w:val="baseline"/>
                <w:lang w:val="en-US" w:eastAsia="zh-CN"/>
              </w:rPr>
              <w:t>2000000.00</w:t>
            </w:r>
            <w:r>
              <w:rPr>
                <w:rFonts w:hint="eastAsia" w:ascii="楷体" w:hAnsi="楷体" w:eastAsia="楷体" w:cs="楷体"/>
                <w:b/>
                <w:bCs/>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元</w:t>
            </w:r>
          </w:p>
          <w:p w14:paraId="0E7DC18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供应商投标报价高于最高限价的则其投标文件将按无效投标文件处理。</w:t>
            </w:r>
          </w:p>
        </w:tc>
      </w:tr>
      <w:tr w14:paraId="0952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8BC937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3</w:t>
            </w:r>
          </w:p>
        </w:tc>
        <w:tc>
          <w:tcPr>
            <w:tcW w:w="1518" w:type="dxa"/>
            <w:vAlign w:val="center"/>
          </w:tcPr>
          <w:p w14:paraId="3E88154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暂列金或暂估价</w:t>
            </w:r>
          </w:p>
        </w:tc>
        <w:tc>
          <w:tcPr>
            <w:tcW w:w="7060" w:type="dxa"/>
          </w:tcPr>
          <w:p w14:paraId="20520615">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      </w:t>
            </w:r>
            <w:r>
              <w:rPr>
                <w:rFonts w:hint="eastAsia" w:ascii="楷体" w:hAnsi="楷体" w:eastAsia="楷体" w:cs="楷体"/>
                <w:sz w:val="28"/>
                <w:szCs w:val="28"/>
                <w:highlight w:val="none"/>
                <w:vertAlign w:val="baseline"/>
                <w:lang w:val="en-US" w:eastAsia="zh-CN"/>
              </w:rPr>
              <w:t>元</w:t>
            </w:r>
          </w:p>
          <w:p w14:paraId="231AF4B6">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如有，请列明</w:t>
            </w:r>
          </w:p>
        </w:tc>
      </w:tr>
      <w:tr w14:paraId="79BE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01AC72">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4</w:t>
            </w:r>
          </w:p>
        </w:tc>
        <w:tc>
          <w:tcPr>
            <w:tcW w:w="1518" w:type="dxa"/>
            <w:vAlign w:val="center"/>
          </w:tcPr>
          <w:p w14:paraId="4CE3D5F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图纸</w:t>
            </w:r>
          </w:p>
        </w:tc>
        <w:tc>
          <w:tcPr>
            <w:tcW w:w="7060" w:type="dxa"/>
          </w:tcPr>
          <w:p w14:paraId="2849652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有图纸，图纸与工程量清单不一致时以</w:t>
            </w:r>
            <w:r>
              <w:rPr>
                <w:rFonts w:hint="eastAsia" w:ascii="楷体" w:hAnsi="楷体" w:eastAsia="楷体" w:cs="楷体"/>
                <w:color w:val="auto"/>
                <w:sz w:val="28"/>
                <w:szCs w:val="28"/>
                <w:highlight w:val="none"/>
                <w:u w:val="single"/>
                <w:vertAlign w:val="baseline"/>
                <w:lang w:val="en-US" w:eastAsia="zh-CN"/>
              </w:rPr>
              <w:t xml:space="preserve"> 工程量清单 </w:t>
            </w:r>
            <w:r>
              <w:rPr>
                <w:rFonts w:hint="eastAsia" w:ascii="楷体" w:hAnsi="楷体" w:eastAsia="楷体" w:cs="楷体"/>
                <w:sz w:val="28"/>
                <w:szCs w:val="28"/>
                <w:highlight w:val="none"/>
                <w:vertAlign w:val="baseline"/>
                <w:lang w:val="en-US" w:eastAsia="zh-CN"/>
              </w:rPr>
              <w:t>为准。</w:t>
            </w:r>
          </w:p>
          <w:p w14:paraId="5E4361D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无图纸</w:t>
            </w:r>
          </w:p>
        </w:tc>
      </w:tr>
      <w:tr w14:paraId="62F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3F08F1DD">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5</w:t>
            </w:r>
          </w:p>
        </w:tc>
        <w:tc>
          <w:tcPr>
            <w:tcW w:w="1518" w:type="dxa"/>
            <w:vMerge w:val="restart"/>
            <w:vAlign w:val="center"/>
          </w:tcPr>
          <w:p w14:paraId="3449772E">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项目性质</w:t>
            </w:r>
          </w:p>
        </w:tc>
        <w:tc>
          <w:tcPr>
            <w:tcW w:w="7060" w:type="dxa"/>
          </w:tcPr>
          <w:p w14:paraId="1D7125B3">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专门面向中小企业采购</w:t>
            </w:r>
          </w:p>
          <w:p w14:paraId="33CD4002">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仅允许中小企业或小型、微型企业参与投标。</w:t>
            </w:r>
          </w:p>
        </w:tc>
      </w:tr>
      <w:tr w14:paraId="705B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7E94ABE">
            <w:pPr>
              <w:spacing w:line="360" w:lineRule="auto"/>
              <w:jc w:val="center"/>
              <w:rPr>
                <w:rFonts w:hint="eastAsia" w:ascii="楷体" w:hAnsi="楷体" w:eastAsia="楷体" w:cs="楷体"/>
                <w:sz w:val="28"/>
                <w:szCs w:val="28"/>
                <w:highlight w:val="none"/>
                <w:vertAlign w:val="baseline"/>
                <w:lang w:val="en-US" w:eastAsia="zh-CN"/>
              </w:rPr>
            </w:pPr>
          </w:p>
        </w:tc>
        <w:tc>
          <w:tcPr>
            <w:tcW w:w="1518" w:type="dxa"/>
            <w:vMerge w:val="continue"/>
            <w:vAlign w:val="center"/>
          </w:tcPr>
          <w:p w14:paraId="763D1136">
            <w:pPr>
              <w:spacing w:line="360" w:lineRule="auto"/>
              <w:jc w:val="center"/>
              <w:rPr>
                <w:rFonts w:hint="eastAsia" w:ascii="楷体" w:hAnsi="楷体" w:eastAsia="楷体" w:cs="楷体"/>
                <w:sz w:val="28"/>
                <w:szCs w:val="28"/>
                <w:highlight w:val="none"/>
                <w:vertAlign w:val="baseline"/>
                <w:lang w:val="en-US" w:eastAsia="zh-CN"/>
              </w:rPr>
            </w:pPr>
          </w:p>
        </w:tc>
        <w:tc>
          <w:tcPr>
            <w:tcW w:w="7060" w:type="dxa"/>
          </w:tcPr>
          <w:p w14:paraId="3DD80AF9">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非专门面向中小企业采购</w:t>
            </w:r>
          </w:p>
          <w:p w14:paraId="36B74ACE">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对符合《政府采购促进中小企业发展管理办法》(财库(2020)46号)规定的小微企业(监狱企业视同小型、微型企业)的报价给予</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%(3%-5%)的扣除(当采用招标方式时，实际上是对其价格分给予一定比例的增加)，用扣除后的价格参加评审。</w:t>
            </w:r>
          </w:p>
        </w:tc>
      </w:tr>
      <w:tr w14:paraId="48AA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A7E82D9">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w:t>
            </w:r>
          </w:p>
        </w:tc>
        <w:tc>
          <w:tcPr>
            <w:tcW w:w="1518" w:type="dxa"/>
            <w:vAlign w:val="center"/>
          </w:tcPr>
          <w:p w14:paraId="3789B8E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对供应商的资格要求</w:t>
            </w:r>
          </w:p>
        </w:tc>
        <w:tc>
          <w:tcPr>
            <w:tcW w:w="7060" w:type="dxa"/>
          </w:tcPr>
          <w:p w14:paraId="7CC3DD55">
            <w:pPr>
              <w:numPr>
                <w:ilvl w:val="0"/>
                <w:numId w:val="1"/>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具有独立承担民事责任能力的法人、其他组织或自然人，并出具合法有效的营业执照或事业单位法人证书等国家规定的相关证明，自然人参与的提供其身份证明；</w:t>
            </w:r>
          </w:p>
          <w:p w14:paraId="155E6DDE">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2）法定代表人参加投标时，提供法定代表人身份证明和本人身份证；授权代表参加投标时，提供法定代表人授权书和被授权人身份证；非法人单位参照执行；</w:t>
            </w:r>
          </w:p>
          <w:p w14:paraId="1461A8A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3）须提供建设行政主管部门颁发建筑工程施工总承包三级（含三级）及以上资质，并具有合格有效的安全生产许可证； </w:t>
            </w:r>
          </w:p>
          <w:p w14:paraId="2485F5C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4）拟派项目经理须具备建筑工程专业二级注册建造师及安全生产考核合格证书，在本单位注册且无在建工程和不良记录（提供无在建工程、无不良记录承诺书）。 </w:t>
            </w:r>
          </w:p>
          <w:p w14:paraId="5E917C1F">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5）投标人在“陕西省建筑市场监管与诚信信息发布平台”可查询到企业及项目负责人基本信息； </w:t>
            </w:r>
          </w:p>
          <w:p w14:paraId="416000F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财务状况报告：须提供2023年度的经审计的财务报告（至少包括三表一注，成立时间至提交投标文件截止时间不足一年的可提供成立后任意时段的资产负债表），或招标前三个月内开户银行出具的资信证明（附开户许可证或开户银行证明）；</w:t>
            </w:r>
          </w:p>
          <w:p w14:paraId="4D9A683E">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7）税收缴纳证明：提供投标文件递交时间前一年内至少一个月已缴纳的纳税证明或完税证明凭据；其他组织和自然人提供响应文件递交时间前一年内至少一个月缴纳税收的凭据；依法免税的供应商应提供相关文件证明；</w:t>
            </w:r>
          </w:p>
          <w:p w14:paraId="441BB054">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8）社会保障资金缴纳证明：提供投标文件递交时间前一年内至少一个月已缴纳的社会保障资金的凭据（专用收据或社会保险缴纳清单）；依法不需要缴纳社会保障资金的供应商应提供相关文件证明； </w:t>
            </w:r>
          </w:p>
          <w:p w14:paraId="6D051B2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9）出具参加本次政府采购活动前三年内在经营活动中没有重大违法记录的书面声明； </w:t>
            </w:r>
          </w:p>
          <w:p w14:paraId="3A4EED2C">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10）具备履行合同所必需的设备和专业技术能力的证明材料(由投标人根据项目需求提供说明材料或者承诺)； </w:t>
            </w:r>
          </w:p>
          <w:p w14:paraId="4678CEB0">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11）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国家企业信用信息公示系统未被列入严重违法失信企业名单。（以采购代理机构在响应文件递交截止时间后当天查询记录为准）；</w:t>
            </w:r>
          </w:p>
          <w:p w14:paraId="32197875">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5FC7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5CF21099">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7</w:t>
            </w:r>
          </w:p>
        </w:tc>
        <w:tc>
          <w:tcPr>
            <w:tcW w:w="1518" w:type="dxa"/>
            <w:vMerge w:val="restart"/>
            <w:vAlign w:val="center"/>
          </w:tcPr>
          <w:p w14:paraId="0D4579CB">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是否接受联合体投标</w:t>
            </w:r>
          </w:p>
        </w:tc>
        <w:tc>
          <w:tcPr>
            <w:tcW w:w="7060" w:type="dxa"/>
          </w:tcPr>
          <w:p w14:paraId="18C40C8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接受</w:t>
            </w:r>
          </w:p>
          <w:p w14:paraId="6C6CD9F6">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对于联合体协议或者分包意向协议约定小微企业的合同份额占到合同总金额30%以上的，对联合体或者大中型企业的报价给予</w:t>
            </w:r>
            <w:r>
              <w:rPr>
                <w:rFonts w:hint="eastAsia" w:ascii="楷体" w:hAnsi="楷体" w:eastAsia="楷体" w:cs="楷体"/>
                <w:sz w:val="28"/>
                <w:szCs w:val="28"/>
                <w:u w:val="single"/>
                <w:vertAlign w:val="baseline"/>
                <w:lang w:val="en-US" w:eastAsia="zh-CN"/>
              </w:rPr>
              <w:t xml:space="preserve">   </w:t>
            </w:r>
            <w:r>
              <w:rPr>
                <w:rFonts w:hint="eastAsia" w:ascii="楷体" w:hAnsi="楷体" w:eastAsia="楷体" w:cs="楷体"/>
                <w:sz w:val="28"/>
                <w:szCs w:val="28"/>
                <w:vertAlign w:val="baseline"/>
                <w:lang w:val="en-US" w:eastAsia="zh-CN"/>
              </w:rPr>
              <w:t>%(1%-2%)的扣除(当采用招标方式时，实际上是对其价格分给予一定比例的增加)，用扣除后的报价参加评审。</w:t>
            </w:r>
          </w:p>
        </w:tc>
      </w:tr>
      <w:tr w14:paraId="1F8C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5BCBB345">
            <w:pPr>
              <w:spacing w:line="360" w:lineRule="auto"/>
              <w:jc w:val="center"/>
              <w:rPr>
                <w:rFonts w:hint="eastAsia" w:ascii="楷体" w:hAnsi="楷体" w:eastAsia="楷体" w:cs="楷体"/>
                <w:sz w:val="28"/>
                <w:szCs w:val="28"/>
                <w:vertAlign w:val="baseline"/>
                <w:lang w:val="en-US" w:eastAsia="zh-CN"/>
              </w:rPr>
            </w:pPr>
          </w:p>
        </w:tc>
        <w:tc>
          <w:tcPr>
            <w:tcW w:w="1518" w:type="dxa"/>
            <w:vMerge w:val="continue"/>
            <w:vAlign w:val="center"/>
          </w:tcPr>
          <w:p w14:paraId="5F0F4AB8">
            <w:pPr>
              <w:spacing w:line="360" w:lineRule="auto"/>
              <w:jc w:val="center"/>
              <w:rPr>
                <w:rFonts w:hint="eastAsia" w:ascii="楷体" w:hAnsi="楷体" w:eastAsia="楷体" w:cs="楷体"/>
                <w:sz w:val="28"/>
                <w:szCs w:val="28"/>
                <w:vertAlign w:val="baseline"/>
                <w:lang w:val="en-US" w:eastAsia="zh-CN"/>
              </w:rPr>
            </w:pPr>
          </w:p>
        </w:tc>
        <w:tc>
          <w:tcPr>
            <w:tcW w:w="7060" w:type="dxa"/>
          </w:tcPr>
          <w:p w14:paraId="563032F9">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不接受</w:t>
            </w:r>
          </w:p>
        </w:tc>
      </w:tr>
      <w:tr w14:paraId="56E3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14:paraId="0B49CC89">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8</w:t>
            </w:r>
          </w:p>
        </w:tc>
        <w:tc>
          <w:tcPr>
            <w:tcW w:w="1518" w:type="dxa"/>
            <w:vMerge w:val="restart"/>
            <w:vAlign w:val="center"/>
          </w:tcPr>
          <w:p w14:paraId="60D8A65D">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履约保证金</w:t>
            </w:r>
          </w:p>
        </w:tc>
        <w:tc>
          <w:tcPr>
            <w:tcW w:w="7060" w:type="dxa"/>
          </w:tcPr>
          <w:p w14:paraId="4C5875C9">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占政府采购合同金额的</w:t>
            </w:r>
            <w:r>
              <w:rPr>
                <w:rFonts w:hint="eastAsia" w:ascii="楷体" w:hAnsi="楷体" w:eastAsia="楷体" w:cs="楷体"/>
                <w:sz w:val="28"/>
                <w:szCs w:val="28"/>
                <w:u w:val="single"/>
                <w:vertAlign w:val="baseline"/>
                <w:lang w:val="en-US" w:eastAsia="zh-CN"/>
              </w:rPr>
              <w:t xml:space="preserve">   /    </w:t>
            </w:r>
            <w:r>
              <w:rPr>
                <w:rFonts w:hint="eastAsia" w:ascii="楷体" w:hAnsi="楷体" w:eastAsia="楷体" w:cs="楷体"/>
                <w:sz w:val="28"/>
                <w:szCs w:val="28"/>
                <w:vertAlign w:val="baseline"/>
                <w:lang w:val="en-US" w:eastAsia="zh-CN"/>
              </w:rPr>
              <w:t>%</w:t>
            </w:r>
          </w:p>
          <w:p w14:paraId="7D0DDEE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 xml:space="preserve">履约保证金的数额不得超过政府采购合同金额的10%:对于单价合同，其数额不得超过采购预算的10% </w:t>
            </w:r>
          </w:p>
        </w:tc>
      </w:tr>
      <w:tr w14:paraId="3B0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743C36B8">
            <w:pPr>
              <w:spacing w:line="360" w:lineRule="auto"/>
              <w:jc w:val="center"/>
              <w:rPr>
                <w:rFonts w:hint="eastAsia" w:ascii="楷体" w:hAnsi="楷体" w:eastAsia="楷体" w:cs="楷体"/>
                <w:sz w:val="28"/>
                <w:szCs w:val="28"/>
                <w:vertAlign w:val="baseline"/>
                <w:lang w:val="en-US" w:eastAsia="zh-CN"/>
              </w:rPr>
            </w:pPr>
          </w:p>
        </w:tc>
        <w:tc>
          <w:tcPr>
            <w:tcW w:w="1518" w:type="dxa"/>
            <w:vMerge w:val="continue"/>
            <w:vAlign w:val="center"/>
          </w:tcPr>
          <w:p w14:paraId="0ED9791F">
            <w:pPr>
              <w:spacing w:line="360" w:lineRule="auto"/>
              <w:jc w:val="center"/>
              <w:rPr>
                <w:rFonts w:hint="eastAsia" w:ascii="楷体" w:hAnsi="楷体" w:eastAsia="楷体" w:cs="楷体"/>
                <w:sz w:val="28"/>
                <w:szCs w:val="28"/>
                <w:vertAlign w:val="baseline"/>
                <w:lang w:val="en-US" w:eastAsia="zh-CN"/>
              </w:rPr>
            </w:pPr>
          </w:p>
        </w:tc>
        <w:tc>
          <w:tcPr>
            <w:tcW w:w="7060" w:type="dxa"/>
          </w:tcPr>
          <w:p w14:paraId="5C801158">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由采购单位自行收退</w:t>
            </w:r>
          </w:p>
          <w:p w14:paraId="348B964D">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由代理机构负责收退</w:t>
            </w:r>
          </w:p>
        </w:tc>
      </w:tr>
      <w:tr w14:paraId="6A5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E43DF6F">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518" w:type="dxa"/>
            <w:vAlign w:val="center"/>
          </w:tcPr>
          <w:p w14:paraId="52449A12">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现场踏勘和集中答疑</w:t>
            </w:r>
          </w:p>
        </w:tc>
        <w:tc>
          <w:tcPr>
            <w:tcW w:w="7060" w:type="dxa"/>
          </w:tcPr>
          <w:p w14:paraId="44A8514C">
            <w:pPr>
              <w:numPr>
                <w:ilvl w:val="0"/>
                <w:numId w:val="0"/>
              </w:numPr>
              <w:spacing w:line="360" w:lineRule="auto"/>
              <w:rPr>
                <w:rFonts w:hint="eastAsia" w:ascii="楷体" w:hAnsi="楷体" w:eastAsia="楷体" w:cs="楷体"/>
                <w:sz w:val="28"/>
                <w:szCs w:val="28"/>
                <w:u w:val="single"/>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组织，集结地点为：</w:t>
            </w:r>
            <w:r>
              <w:rPr>
                <w:rFonts w:hint="eastAsia" w:ascii="楷体" w:hAnsi="楷体" w:eastAsia="楷体" w:cs="楷体"/>
                <w:sz w:val="28"/>
                <w:szCs w:val="28"/>
                <w:u w:val="single"/>
                <w:vertAlign w:val="baseline"/>
                <w:lang w:val="en-US" w:eastAsia="zh-CN"/>
              </w:rPr>
              <w:t xml:space="preserve">                     </w:t>
            </w:r>
          </w:p>
          <w:p w14:paraId="32B444DC">
            <w:pPr>
              <w:numPr>
                <w:ilvl w:val="0"/>
                <w:numId w:val="0"/>
              </w:numPr>
              <w:spacing w:line="360" w:lineRule="auto"/>
              <w:rPr>
                <w:rFonts w:hint="eastAsia" w:ascii="楷体" w:hAnsi="楷体" w:eastAsia="楷体" w:cs="楷体"/>
                <w:sz w:val="28"/>
                <w:szCs w:val="28"/>
                <w:u w:val="single"/>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不组织</w:t>
            </w:r>
          </w:p>
        </w:tc>
      </w:tr>
      <w:tr w14:paraId="412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C927D35">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10</w:t>
            </w:r>
          </w:p>
        </w:tc>
        <w:tc>
          <w:tcPr>
            <w:tcW w:w="1518" w:type="dxa"/>
            <w:vAlign w:val="center"/>
          </w:tcPr>
          <w:p w14:paraId="673E9635">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价格分比重</w:t>
            </w:r>
          </w:p>
        </w:tc>
        <w:tc>
          <w:tcPr>
            <w:tcW w:w="7060" w:type="dxa"/>
          </w:tcPr>
          <w:p w14:paraId="5CA97934">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占总分</w:t>
            </w:r>
            <w:r>
              <w:rPr>
                <w:rFonts w:hint="eastAsia" w:ascii="楷体" w:hAnsi="楷体" w:eastAsia="楷体" w:cs="楷体"/>
                <w:sz w:val="28"/>
                <w:szCs w:val="28"/>
                <w:highlight w:val="none"/>
                <w:vertAlign w:val="baseline"/>
                <w:lang w:val="en-US" w:eastAsia="zh-CN"/>
              </w:rPr>
              <w:t>值的</w:t>
            </w:r>
            <w:r>
              <w:rPr>
                <w:rFonts w:hint="eastAsia" w:ascii="楷体" w:hAnsi="楷体" w:eastAsia="楷体" w:cs="楷体"/>
                <w:sz w:val="28"/>
                <w:szCs w:val="28"/>
                <w:highlight w:val="none"/>
                <w:u w:val="single"/>
                <w:vertAlign w:val="baseline"/>
                <w:lang w:val="en-US" w:eastAsia="zh-CN"/>
              </w:rPr>
              <w:t xml:space="preserve">   30</w:t>
            </w:r>
            <w:bookmarkStart w:id="0" w:name="_GoBack"/>
            <w:bookmarkEnd w:id="0"/>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w:t>
            </w:r>
          </w:p>
          <w:p w14:paraId="7FF9C08A">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政府采购法律法规未有明确限制。</w:t>
            </w:r>
          </w:p>
        </w:tc>
      </w:tr>
      <w:tr w14:paraId="2D2E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FD9154B">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11</w:t>
            </w:r>
          </w:p>
        </w:tc>
        <w:tc>
          <w:tcPr>
            <w:tcW w:w="1518" w:type="dxa"/>
            <w:vAlign w:val="center"/>
          </w:tcPr>
          <w:p w14:paraId="4B668787">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合同类型</w:t>
            </w:r>
          </w:p>
        </w:tc>
        <w:tc>
          <w:tcPr>
            <w:tcW w:w="7060" w:type="dxa"/>
          </w:tcPr>
          <w:p w14:paraId="1BCBEBF1">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总价</w:t>
            </w:r>
          </w:p>
          <w:p w14:paraId="56DEC43E">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综合单价（适用于采购数量不定的情形）</w:t>
            </w:r>
          </w:p>
          <w:p w14:paraId="11BEEC4F">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其他：</w:t>
            </w:r>
            <w:r>
              <w:rPr>
                <w:rFonts w:hint="eastAsia" w:ascii="楷体" w:hAnsi="楷体" w:eastAsia="楷体" w:cs="楷体"/>
                <w:sz w:val="28"/>
                <w:szCs w:val="28"/>
                <w:u w:val="single"/>
                <w:vertAlign w:val="baseline"/>
                <w:lang w:val="en-US" w:eastAsia="zh-CN"/>
              </w:rPr>
              <w:t xml:space="preserve">                             </w:t>
            </w:r>
            <w:r>
              <w:rPr>
                <w:rFonts w:hint="eastAsia" w:ascii="楷体" w:hAnsi="楷体" w:eastAsia="楷体" w:cs="楷体"/>
                <w:sz w:val="28"/>
                <w:szCs w:val="28"/>
                <w:vertAlign w:val="baseline"/>
                <w:lang w:val="en-US" w:eastAsia="zh-CN"/>
              </w:rPr>
              <w:t xml:space="preserve"> </w:t>
            </w:r>
          </w:p>
        </w:tc>
      </w:tr>
      <w:tr w14:paraId="1F9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A5C8508">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12</w:t>
            </w:r>
          </w:p>
        </w:tc>
        <w:tc>
          <w:tcPr>
            <w:tcW w:w="1518" w:type="dxa"/>
            <w:vAlign w:val="center"/>
          </w:tcPr>
          <w:p w14:paraId="67897966">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争议解决途径</w:t>
            </w:r>
          </w:p>
        </w:tc>
        <w:tc>
          <w:tcPr>
            <w:tcW w:w="7060" w:type="dxa"/>
          </w:tcPr>
          <w:p w14:paraId="5C44E82D">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FE"/>
            </w:r>
            <w:r>
              <w:rPr>
                <w:rFonts w:hint="eastAsia" w:ascii="楷体" w:hAnsi="楷体" w:eastAsia="楷体" w:cs="楷体"/>
                <w:sz w:val="28"/>
                <w:szCs w:val="28"/>
                <w:vertAlign w:val="baseline"/>
                <w:lang w:val="en-US" w:eastAsia="zh-CN"/>
              </w:rPr>
              <w:t>向有管辖权的人民法院提起诉讼</w:t>
            </w:r>
          </w:p>
          <w:p w14:paraId="61DC94F7">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向西安仲裁委员会提请仲裁</w:t>
            </w:r>
          </w:p>
          <w:p w14:paraId="595884F5">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sym w:font="Wingdings" w:char="00A8"/>
            </w:r>
            <w:r>
              <w:rPr>
                <w:rFonts w:hint="eastAsia" w:ascii="楷体" w:hAnsi="楷体" w:eastAsia="楷体" w:cs="楷体"/>
                <w:sz w:val="28"/>
                <w:szCs w:val="28"/>
                <w:vertAlign w:val="baseline"/>
                <w:lang w:val="en-US" w:eastAsia="zh-CN"/>
              </w:rPr>
              <w:t>由供应商做出选择</w:t>
            </w:r>
          </w:p>
        </w:tc>
      </w:tr>
      <w:tr w14:paraId="20DA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BFA88ED">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13</w:t>
            </w:r>
          </w:p>
        </w:tc>
        <w:tc>
          <w:tcPr>
            <w:tcW w:w="1518" w:type="dxa"/>
            <w:vAlign w:val="center"/>
          </w:tcPr>
          <w:p w14:paraId="1B5DC3D0">
            <w:pPr>
              <w:spacing w:line="360" w:lineRule="auto"/>
              <w:jc w:val="center"/>
              <w:rPr>
                <w:rFonts w:hint="eastAsia" w:ascii="楷体" w:hAnsi="楷体" w:eastAsia="楷体" w:cs="楷体"/>
                <w:sz w:val="28"/>
                <w:szCs w:val="28"/>
                <w:vertAlign w:val="baseline"/>
                <w:lang w:val="en-US" w:eastAsia="zh-CN"/>
              </w:rPr>
            </w:pPr>
            <w:r>
              <w:rPr>
                <w:rFonts w:hint="eastAsia" w:ascii="楷体" w:hAnsi="楷体" w:eastAsia="楷体" w:cs="楷体"/>
                <w:color w:val="auto"/>
                <w:sz w:val="28"/>
                <w:szCs w:val="28"/>
                <w:vertAlign w:val="baseline"/>
                <w:lang w:val="en-US" w:eastAsia="zh-CN"/>
              </w:rPr>
              <w:t>联系方式</w:t>
            </w:r>
          </w:p>
        </w:tc>
        <w:tc>
          <w:tcPr>
            <w:tcW w:w="7060" w:type="dxa"/>
          </w:tcPr>
          <w:p w14:paraId="7A23D7D2">
            <w:pPr>
              <w:numPr>
                <w:ilvl w:val="0"/>
                <w:numId w:val="0"/>
              </w:numPr>
              <w:spacing w:line="360" w:lineRule="auto"/>
              <w:rPr>
                <w:rFonts w:hint="default" w:ascii="楷体" w:hAnsi="楷体" w:eastAsia="楷体" w:cs="楷体"/>
                <w:color w:val="auto"/>
                <w:sz w:val="28"/>
                <w:szCs w:val="28"/>
                <w:vertAlign w:val="baseline"/>
                <w:lang w:val="en-US" w:eastAsia="zh-CN"/>
              </w:rPr>
            </w:pPr>
            <w:r>
              <w:rPr>
                <w:rFonts w:hint="eastAsia" w:ascii="楷体" w:hAnsi="楷体" w:eastAsia="楷体" w:cs="楷体"/>
                <w:sz w:val="28"/>
                <w:szCs w:val="28"/>
                <w:vertAlign w:val="baseline"/>
                <w:lang w:val="en-US" w:eastAsia="zh-CN"/>
              </w:rPr>
              <w:t>联系对接人：</w:t>
            </w:r>
            <w:r>
              <w:rPr>
                <w:rFonts w:hint="eastAsia" w:ascii="楷体" w:hAnsi="楷体" w:eastAsia="楷体" w:cs="楷体"/>
                <w:sz w:val="28"/>
                <w:szCs w:val="28"/>
                <w:u w:val="single"/>
                <w:vertAlign w:val="baseline"/>
                <w:lang w:val="en-US" w:eastAsia="zh-CN"/>
              </w:rPr>
              <w:t xml:space="preserve">    </w:t>
            </w:r>
            <w:r>
              <w:rPr>
                <w:rFonts w:hint="eastAsia" w:ascii="楷体" w:hAnsi="楷体" w:eastAsia="楷体" w:cs="楷体"/>
                <w:color w:val="auto"/>
                <w:sz w:val="28"/>
                <w:szCs w:val="28"/>
                <w:u w:val="single"/>
                <w:vertAlign w:val="baseline"/>
                <w:lang w:val="en-US" w:eastAsia="zh-CN"/>
              </w:rPr>
              <w:t xml:space="preserve"> </w:t>
            </w:r>
            <w:r>
              <w:rPr>
                <w:rFonts w:hint="eastAsia" w:ascii="楷体" w:hAnsi="楷体" w:eastAsia="楷体" w:cs="楷体"/>
                <w:color w:val="auto"/>
                <w:sz w:val="28"/>
                <w:szCs w:val="28"/>
                <w:highlight w:val="none"/>
                <w:u w:val="single"/>
                <w:vertAlign w:val="baseline"/>
                <w:lang w:val="en-US" w:eastAsia="zh-CN"/>
              </w:rPr>
              <w:t xml:space="preserve">      </w:t>
            </w:r>
            <w:r>
              <w:rPr>
                <w:rFonts w:hint="eastAsia" w:ascii="楷体" w:hAnsi="楷体" w:eastAsia="楷体" w:cs="楷体"/>
                <w:color w:val="auto"/>
                <w:sz w:val="28"/>
                <w:szCs w:val="28"/>
                <w:u w:val="single"/>
                <w:vertAlign w:val="baseline"/>
                <w:lang w:val="en-US" w:eastAsia="zh-CN"/>
              </w:rPr>
              <w:t xml:space="preserve">       </w:t>
            </w:r>
          </w:p>
          <w:p w14:paraId="260AAF32">
            <w:pPr>
              <w:numPr>
                <w:ilvl w:val="0"/>
                <w:numId w:val="0"/>
              </w:numPr>
              <w:spacing w:line="360" w:lineRule="auto"/>
              <w:rPr>
                <w:rFonts w:hint="eastAsia" w:ascii="楷体" w:hAnsi="楷体" w:eastAsia="楷体" w:cs="楷体"/>
                <w:color w:val="auto"/>
                <w:sz w:val="28"/>
                <w:szCs w:val="28"/>
                <w:u w:val="single"/>
                <w:vertAlign w:val="baseline"/>
                <w:lang w:val="en-US" w:eastAsia="zh-CN"/>
              </w:rPr>
            </w:pPr>
            <w:r>
              <w:rPr>
                <w:rFonts w:hint="eastAsia" w:ascii="楷体" w:hAnsi="楷体" w:eastAsia="楷体" w:cs="楷体"/>
                <w:color w:val="auto"/>
                <w:sz w:val="28"/>
                <w:szCs w:val="28"/>
                <w:vertAlign w:val="baseline"/>
                <w:lang w:val="en-US" w:eastAsia="zh-CN"/>
              </w:rPr>
              <w:t>联系电话：</w:t>
            </w:r>
            <w:r>
              <w:rPr>
                <w:rFonts w:hint="eastAsia" w:ascii="楷体" w:hAnsi="楷体" w:eastAsia="楷体" w:cs="楷体"/>
                <w:color w:val="auto"/>
                <w:sz w:val="28"/>
                <w:szCs w:val="28"/>
                <w:u w:val="single"/>
                <w:vertAlign w:val="baseline"/>
                <w:lang w:val="en-US" w:eastAsia="zh-CN"/>
              </w:rPr>
              <w:t xml:space="preserve">    </w:t>
            </w:r>
            <w:r>
              <w:rPr>
                <w:rFonts w:hint="eastAsia" w:ascii="楷体" w:hAnsi="楷体" w:eastAsia="楷体" w:cs="楷体"/>
                <w:color w:val="auto"/>
                <w:sz w:val="28"/>
                <w:szCs w:val="28"/>
                <w:highlight w:val="none"/>
                <w:u w:val="single"/>
                <w:vertAlign w:val="baseline"/>
                <w:lang w:val="en-US" w:eastAsia="zh-CN"/>
              </w:rPr>
              <w:t xml:space="preserve">            </w:t>
            </w:r>
            <w:r>
              <w:rPr>
                <w:rFonts w:hint="eastAsia" w:ascii="楷体" w:hAnsi="楷体" w:eastAsia="楷体" w:cs="楷体"/>
                <w:color w:val="auto"/>
                <w:sz w:val="28"/>
                <w:szCs w:val="28"/>
                <w:u w:val="single"/>
                <w:vertAlign w:val="baseline"/>
                <w:lang w:val="en-US" w:eastAsia="zh-CN"/>
              </w:rPr>
              <w:t xml:space="preserve">    </w:t>
            </w:r>
          </w:p>
          <w:p w14:paraId="4F9FFA03">
            <w:pPr>
              <w:numPr>
                <w:ilvl w:val="0"/>
                <w:numId w:val="0"/>
              </w:numPr>
              <w:spacing w:line="360" w:lineRule="auto"/>
              <w:rPr>
                <w:rFonts w:hint="eastAsia" w:ascii="楷体" w:hAnsi="楷体" w:eastAsia="楷体" w:cs="楷体"/>
                <w:sz w:val="28"/>
                <w:szCs w:val="28"/>
                <w:vertAlign w:val="baseline"/>
                <w:lang w:val="en-US" w:eastAsia="zh-CN"/>
              </w:rPr>
            </w:pPr>
            <w:r>
              <w:rPr>
                <w:rFonts w:hint="eastAsia" w:ascii="楷体" w:hAnsi="楷体" w:eastAsia="楷体" w:cs="楷体"/>
                <w:color w:val="auto"/>
                <w:sz w:val="28"/>
                <w:szCs w:val="28"/>
                <w:u w:val="none"/>
                <w:vertAlign w:val="baseline"/>
                <w:lang w:val="en-US" w:eastAsia="zh-CN"/>
              </w:rPr>
              <w:t>电</w:t>
            </w:r>
            <w:r>
              <w:rPr>
                <w:rFonts w:hint="eastAsia" w:ascii="楷体" w:hAnsi="楷体" w:eastAsia="楷体" w:cs="楷体"/>
                <w:color w:val="auto"/>
                <w:sz w:val="28"/>
                <w:szCs w:val="28"/>
                <w:vertAlign w:val="baseline"/>
                <w:lang w:val="en-US" w:eastAsia="zh-CN"/>
              </w:rPr>
              <w:t>子邮箱：</w:t>
            </w:r>
            <w:r>
              <w:rPr>
                <w:rFonts w:hint="eastAsia" w:ascii="楷体" w:hAnsi="楷体" w:eastAsia="楷体" w:cs="楷体"/>
                <w:color w:val="auto"/>
                <w:sz w:val="28"/>
                <w:szCs w:val="28"/>
                <w:u w:val="single"/>
                <w:vertAlign w:val="baseline"/>
                <w:lang w:val="en-US" w:eastAsia="zh-CN"/>
              </w:rPr>
              <w:t xml:space="preserve">          /         </w:t>
            </w:r>
          </w:p>
        </w:tc>
      </w:tr>
    </w:tbl>
    <w:p w14:paraId="692155AD">
      <w:pPr>
        <w:rPr>
          <w:rFonts w:hint="eastAsia"/>
          <w:lang w:val="en-US" w:eastAsia="zh-CN"/>
        </w:rPr>
      </w:pPr>
    </w:p>
    <w:p w14:paraId="53017779">
      <w:pPr>
        <w:rPr>
          <w:rFonts w:hint="eastAsia"/>
          <w:lang w:val="en-US" w:eastAsia="zh-CN"/>
        </w:rPr>
      </w:pPr>
    </w:p>
    <w:p w14:paraId="7A239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需求框架</w:t>
      </w:r>
    </w:p>
    <w:p w14:paraId="401528B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kern w:val="2"/>
          <w:sz w:val="28"/>
          <w:szCs w:val="28"/>
          <w:lang w:val="en-US" w:eastAsia="zh-CN" w:bidi="zh-CN"/>
        </w:rPr>
        <w:t>一、</w:t>
      </w:r>
      <w:r>
        <w:rPr>
          <w:rFonts w:hint="eastAsia" w:ascii="楷体" w:hAnsi="楷体" w:eastAsia="楷体" w:cs="楷体"/>
          <w:b/>
          <w:bCs/>
          <w:color w:val="auto"/>
          <w:sz w:val="28"/>
          <w:szCs w:val="28"/>
          <w:lang w:val="en-US" w:eastAsia="zh-CN"/>
        </w:rPr>
        <w:t>项目概况</w:t>
      </w:r>
    </w:p>
    <w:p w14:paraId="19AAEBEE">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随着城市化进程的加速，城市基础设施建设日显重要。公共卫生间作为城市基础设施的一部分，对于改善居民生活环境、提升城市形象具有重要意义。本项目旨在满足市民日益增长的公共卫生需求，提升城市公共服务水平，促进城市文明建设。</w:t>
      </w:r>
    </w:p>
    <w:p w14:paraId="2F58B59F">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color w:val="auto"/>
          <w:sz w:val="28"/>
          <w:szCs w:val="28"/>
          <w:lang w:val="en-US" w:eastAsia="zh-CN"/>
        </w:rPr>
      </w:pPr>
      <w:r>
        <w:rPr>
          <w:rFonts w:hint="eastAsia" w:ascii="楷体" w:hAnsi="楷体" w:eastAsia="楷体" w:cs="楷体"/>
          <w:b/>
          <w:bCs/>
          <w:i w:val="0"/>
          <w:iCs w:val="0"/>
          <w:color w:val="auto"/>
          <w:kern w:val="2"/>
          <w:sz w:val="28"/>
          <w:szCs w:val="28"/>
          <w:lang w:val="en-US" w:eastAsia="zh-CN" w:bidi="zh-CN"/>
        </w:rPr>
        <w:t>二、</w:t>
      </w:r>
      <w:r>
        <w:rPr>
          <w:rFonts w:hint="eastAsia" w:ascii="楷体" w:hAnsi="楷体" w:eastAsia="楷体" w:cs="楷体"/>
          <w:b/>
          <w:bCs/>
          <w:i w:val="0"/>
          <w:iCs w:val="0"/>
          <w:color w:val="auto"/>
          <w:sz w:val="28"/>
          <w:szCs w:val="28"/>
          <w:lang w:val="en-US" w:eastAsia="zh-CN"/>
        </w:rPr>
        <w:t>工程内容和实施地点、计划工期、缺陷责任期、质量保修期</w:t>
      </w:r>
    </w:p>
    <w:p w14:paraId="0C845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jc w:val="left"/>
        <w:textAlignment w:val="auto"/>
        <w:rPr>
          <w:rFonts w:hint="default"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1、工程内容：新建公厕8座。</w:t>
      </w:r>
    </w:p>
    <w:p w14:paraId="53E417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2、实施地点：蓝田县</w:t>
      </w:r>
    </w:p>
    <w:p w14:paraId="4800C6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3、计划工期：合同签订之日起120个日历日。</w:t>
      </w:r>
    </w:p>
    <w:p w14:paraId="40F048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4、缺陷责任期：自竣工验收合格之日起12个月</w:t>
      </w:r>
    </w:p>
    <w:p w14:paraId="694ABD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textAlignment w:val="auto"/>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5、质量保修期：不少于12个月</w:t>
      </w:r>
    </w:p>
    <w:p w14:paraId="4F16DD0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四、</w:t>
      </w:r>
      <w:r>
        <w:rPr>
          <w:rFonts w:hint="eastAsia" w:ascii="楷体" w:hAnsi="楷体" w:eastAsia="楷体" w:cs="楷体"/>
          <w:b/>
          <w:bCs/>
          <w:i w:val="0"/>
          <w:iCs w:val="0"/>
          <w:sz w:val="28"/>
          <w:szCs w:val="28"/>
          <w:lang w:val="en-US" w:eastAsia="zh-CN"/>
        </w:rPr>
        <w:t>工程量清单和计价依据</w:t>
      </w:r>
    </w:p>
    <w:p w14:paraId="3DF703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1、计价依据：</w:t>
      </w:r>
    </w:p>
    <w:p w14:paraId="27594C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1、按工程量清单计价法编制，按《陕西省建设工程工程量清单计价规则》（2009）及相关费用文件；</w:t>
      </w:r>
    </w:p>
    <w:p w14:paraId="5E18F6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2、《陕西省建筑、装饰工程消耗量定额》（2004）及补充定额；《陕西省建筑、装饰工程价目表》（2009）及参考费率；</w:t>
      </w:r>
    </w:p>
    <w:p w14:paraId="1727BB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3、《陕西省安装工程消耗量定额》（2004）及补充定额；《陕西省安装工程价目表》（2009）；</w:t>
      </w:r>
    </w:p>
    <w:p w14:paraId="12B304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4、《陕西省园林绿化工程价目表》（2009）；</w:t>
      </w:r>
    </w:p>
    <w:p w14:paraId="5FC19D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5、人工费执行陕建发【2021】1097 号文按差价计入；规费执行陕建发【2020】1097 号文；税金执行陕建发【2019】45 号文件；</w:t>
      </w:r>
    </w:p>
    <w:p w14:paraId="5B167A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6、劳保费根据《陕西省住房和城乡建设厅关于全省统一停止收缴建筑业劳保费用的通知》陕建发【2021】1021 号文件，不在扣除劳保费；</w:t>
      </w:r>
    </w:p>
    <w:p w14:paraId="1AAE1A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7、实名制管理费执行陕建发【2019】1246 号文；</w:t>
      </w:r>
    </w:p>
    <w:p w14:paraId="480983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8、材料价执行《蓝田县建设工程信息价》2024年6月信息价，部分主材参照《陕西省建设工程信息价》同期价格及市场询价；</w:t>
      </w:r>
    </w:p>
    <w:p w14:paraId="50E40E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9、项目设计施工图及相关法律法规、标准图集、相关规范等。</w:t>
      </w:r>
    </w:p>
    <w:p w14:paraId="0B0B24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10、工程量清单计价软件使用“广联达云计价平台 GCCP6.4100.23.120”</w:t>
      </w:r>
    </w:p>
    <w:p w14:paraId="740D51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2、工程量清单</w:t>
      </w:r>
    </w:p>
    <w:p w14:paraId="0FA738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sz w:val="28"/>
          <w:szCs w:val="28"/>
          <w:lang w:val="en-US" w:eastAsia="zh-CN"/>
        </w:rPr>
      </w:pPr>
      <w:r>
        <w:rPr>
          <w:rFonts w:hint="eastAsia" w:ascii="楷体" w:hAnsi="楷体" w:eastAsia="楷体" w:cs="楷体"/>
          <w:sz w:val="28"/>
          <w:szCs w:val="28"/>
          <w:highlight w:val="none"/>
          <w:lang w:val="en-US" w:eastAsia="zh-CN"/>
        </w:rPr>
        <w:t>详见工程量清单</w:t>
      </w:r>
    </w:p>
    <w:p w14:paraId="5ECE3D33">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五、</w:t>
      </w:r>
      <w:r>
        <w:rPr>
          <w:rFonts w:hint="eastAsia" w:ascii="楷体" w:hAnsi="楷体" w:eastAsia="楷体" w:cs="楷体"/>
          <w:b/>
          <w:bCs/>
          <w:i w:val="0"/>
          <w:iCs w:val="0"/>
          <w:sz w:val="28"/>
          <w:szCs w:val="28"/>
          <w:lang w:val="en-US" w:eastAsia="zh-CN"/>
        </w:rPr>
        <w:t>施工要求</w:t>
      </w:r>
    </w:p>
    <w:p w14:paraId="19F494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在施工期间，中标供应商必须注意施工人员的人身安全，加强安全措施，并对施工人员进行安全教育。</w:t>
      </w:r>
    </w:p>
    <w:p w14:paraId="4411753E">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六、</w:t>
      </w:r>
      <w:r>
        <w:rPr>
          <w:rFonts w:hint="eastAsia" w:ascii="楷体" w:hAnsi="楷体" w:eastAsia="楷体" w:cs="楷体"/>
          <w:b/>
          <w:bCs/>
          <w:i w:val="0"/>
          <w:iCs w:val="0"/>
          <w:sz w:val="28"/>
          <w:szCs w:val="28"/>
          <w:lang w:val="en-US" w:eastAsia="zh-CN"/>
        </w:rPr>
        <w:t>商务要求</w:t>
      </w:r>
    </w:p>
    <w:p w14:paraId="1679C18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合同价款：</w:t>
      </w:r>
      <w:r>
        <w:rPr>
          <w:rFonts w:hint="eastAsia" w:ascii="楷体" w:hAnsi="楷体" w:eastAsia="楷体" w:cs="楷体"/>
          <w:sz w:val="28"/>
          <w:szCs w:val="28"/>
          <w:highlight w:val="none"/>
          <w:lang w:val="en-US" w:eastAsia="zh-CN"/>
        </w:rPr>
        <w:t>本项目为固定总价合同</w:t>
      </w:r>
    </w:p>
    <w:p w14:paraId="3EEC8BB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2、款项结算：</w:t>
      </w:r>
    </w:p>
    <w:p w14:paraId="7543D96D">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（1）工程竣工，验收合格后支付合同总价款的80%；</w:t>
      </w:r>
    </w:p>
    <w:p w14:paraId="2DBC0E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auto"/>
          <w:sz w:val="28"/>
          <w:szCs w:val="28"/>
          <w:lang w:val="en-US" w:eastAsia="zh-CN"/>
        </w:rPr>
      </w:pPr>
      <w:r>
        <w:rPr>
          <w:rFonts w:hint="eastAsia" w:ascii="楷体" w:hAnsi="楷体" w:eastAsia="楷体" w:cs="楷体"/>
          <w:color w:val="auto"/>
          <w:sz w:val="28"/>
          <w:szCs w:val="28"/>
          <w:lang w:val="en-US" w:eastAsia="zh-CN"/>
        </w:rPr>
        <w:t>（2）审计结束，累计支付合同总价款的97%</w:t>
      </w:r>
    </w:p>
    <w:p w14:paraId="1A0BB1C4">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楷体" w:hAnsi="楷体" w:eastAsia="楷体" w:cs="楷体"/>
          <w:b/>
          <w:bCs/>
          <w:i w:val="0"/>
          <w:iCs w:val="0"/>
          <w:color w:val="auto"/>
          <w:sz w:val="28"/>
          <w:szCs w:val="28"/>
          <w:lang w:val="en-US" w:eastAsia="zh-CN"/>
        </w:rPr>
      </w:pPr>
      <w:r>
        <w:rPr>
          <w:rFonts w:hint="eastAsia" w:ascii="楷体" w:hAnsi="楷体" w:eastAsia="楷体" w:cs="楷体"/>
          <w:color w:val="auto"/>
          <w:sz w:val="28"/>
          <w:szCs w:val="28"/>
          <w:lang w:val="en-US" w:eastAsia="zh-CN"/>
        </w:rPr>
        <w:t>（3）留合同总价款的3%作为质保金，在质保期满12个月后的7个工作日内支付。</w:t>
      </w:r>
    </w:p>
    <w:p w14:paraId="02ADCE88">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b/>
          <w:bCs/>
          <w:i w:val="0"/>
          <w:iCs w:val="0"/>
          <w:sz w:val="28"/>
          <w:szCs w:val="28"/>
          <w:lang w:val="en-US" w:eastAsia="zh-CN"/>
        </w:rPr>
      </w:pPr>
      <w:r>
        <w:rPr>
          <w:rFonts w:hint="eastAsia" w:ascii="楷体" w:hAnsi="楷体" w:eastAsia="楷体" w:cs="楷体"/>
          <w:b/>
          <w:bCs/>
          <w:i w:val="0"/>
          <w:iCs w:val="0"/>
          <w:kern w:val="2"/>
          <w:sz w:val="28"/>
          <w:szCs w:val="28"/>
          <w:lang w:val="en-US" w:eastAsia="zh-CN" w:bidi="zh-CN"/>
        </w:rPr>
        <w:t>七、</w:t>
      </w:r>
      <w:r>
        <w:rPr>
          <w:rFonts w:hint="eastAsia" w:ascii="楷体" w:hAnsi="楷体" w:eastAsia="楷体" w:cs="楷体"/>
          <w:b/>
          <w:bCs/>
          <w:i w:val="0"/>
          <w:iCs w:val="0"/>
          <w:sz w:val="28"/>
          <w:szCs w:val="28"/>
          <w:lang w:val="en-US" w:eastAsia="zh-CN"/>
        </w:rPr>
        <w:t>其他</w:t>
      </w:r>
    </w:p>
    <w:p w14:paraId="709A5982">
      <w:pPr>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对供应商的业绩要求</w:t>
      </w:r>
    </w:p>
    <w:p w14:paraId="1E1C40E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4" w:firstLineChars="200"/>
        <w:textAlignment w:val="auto"/>
        <w:rPr>
          <w:rFonts w:hint="eastAsia" w:ascii="楷体" w:hAnsi="楷体" w:eastAsia="楷体" w:cs="楷体"/>
          <w:spacing w:val="-1"/>
          <w:sz w:val="28"/>
          <w:szCs w:val="28"/>
        </w:rPr>
      </w:pPr>
      <w:r>
        <w:rPr>
          <w:rFonts w:hint="eastAsia" w:ascii="楷体" w:hAnsi="楷体" w:eastAsia="楷体" w:cs="楷体"/>
          <w:spacing w:val="-14"/>
          <w:sz w:val="28"/>
          <w:szCs w:val="28"/>
        </w:rPr>
        <w:t xml:space="preserve">提供 </w:t>
      </w:r>
      <w:r>
        <w:rPr>
          <w:rFonts w:hint="eastAsia" w:ascii="楷体" w:hAnsi="楷体" w:eastAsia="楷体" w:cs="楷体"/>
          <w:sz w:val="28"/>
          <w:szCs w:val="28"/>
        </w:rPr>
        <w:t>20</w:t>
      </w:r>
      <w:r>
        <w:rPr>
          <w:rFonts w:hint="eastAsia" w:ascii="楷体" w:hAnsi="楷体" w:eastAsia="楷体" w:cs="楷体"/>
          <w:sz w:val="28"/>
          <w:szCs w:val="28"/>
          <w:lang w:val="en-US" w:eastAsia="zh-CN"/>
        </w:rPr>
        <w:t>21</w:t>
      </w:r>
      <w:r>
        <w:rPr>
          <w:rFonts w:hint="eastAsia" w:ascii="楷体" w:hAnsi="楷体" w:eastAsia="楷体" w:cs="楷体"/>
          <w:spacing w:val="-37"/>
          <w:sz w:val="28"/>
          <w:szCs w:val="28"/>
        </w:rPr>
        <w:t xml:space="preserve"> 年</w:t>
      </w:r>
      <w:r>
        <w:rPr>
          <w:rFonts w:hint="eastAsia" w:ascii="楷体" w:hAnsi="楷体" w:eastAsia="楷体" w:cs="楷体"/>
          <w:spacing w:val="-37"/>
          <w:sz w:val="28"/>
          <w:szCs w:val="28"/>
          <w:lang w:val="en-US" w:eastAsia="zh-CN"/>
        </w:rPr>
        <w:t xml:space="preserve">  1</w:t>
      </w:r>
      <w:r>
        <w:rPr>
          <w:rFonts w:hint="eastAsia" w:ascii="楷体" w:hAnsi="楷体" w:eastAsia="楷体" w:cs="楷体"/>
          <w:spacing w:val="-36"/>
          <w:sz w:val="28"/>
          <w:szCs w:val="28"/>
        </w:rPr>
        <w:t xml:space="preserve">月 </w:t>
      </w:r>
      <w:r>
        <w:rPr>
          <w:rFonts w:hint="eastAsia" w:ascii="楷体" w:hAnsi="楷体" w:eastAsia="楷体" w:cs="楷体"/>
          <w:spacing w:val="-7"/>
          <w:sz w:val="28"/>
          <w:szCs w:val="28"/>
        </w:rPr>
        <w:t>日以来同类项目业绩，以合同签订日期为准，并加盖供应</w:t>
      </w:r>
      <w:r>
        <w:rPr>
          <w:rFonts w:hint="eastAsia" w:ascii="楷体" w:hAnsi="楷体" w:eastAsia="楷体" w:cs="楷体"/>
          <w:spacing w:val="-1"/>
          <w:sz w:val="28"/>
          <w:szCs w:val="28"/>
        </w:rPr>
        <w:t>商公章的合同关键页复印件。</w:t>
      </w:r>
    </w:p>
    <w:p w14:paraId="0A1699CC">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spacing w:val="-1"/>
          <w:sz w:val="28"/>
          <w:szCs w:val="28"/>
          <w:lang w:val="en-US" w:eastAsia="zh-CN"/>
        </w:rPr>
      </w:pPr>
      <w:r>
        <w:rPr>
          <w:rFonts w:hint="eastAsia" w:ascii="楷体" w:hAnsi="楷体" w:eastAsia="楷体" w:cs="楷体"/>
          <w:spacing w:val="-1"/>
          <w:sz w:val="28"/>
          <w:szCs w:val="28"/>
          <w:lang w:val="en-US" w:eastAsia="zh-CN"/>
        </w:rPr>
        <w:t>质量验收标准或规范</w:t>
      </w:r>
    </w:p>
    <w:p w14:paraId="458440E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0" w:firstLineChars="1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质量标准：</w:t>
      </w:r>
      <w:r>
        <w:rPr>
          <w:rFonts w:hint="eastAsia" w:ascii="楷体" w:hAnsi="楷体" w:eastAsia="楷体" w:cs="楷体"/>
          <w:sz w:val="28"/>
          <w:szCs w:val="28"/>
        </w:rPr>
        <w:t>达到国家规定的合格标准</w:t>
      </w:r>
    </w:p>
    <w:p w14:paraId="4D3D76E6">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0" w:firstLineChars="100"/>
        <w:textAlignment w:val="auto"/>
        <w:rPr>
          <w:rFonts w:hint="default" w:ascii="楷体" w:hAnsi="楷体" w:eastAsia="楷体" w:cs="楷体"/>
          <w:b w:val="0"/>
          <w:bCs w:val="0"/>
          <w:color w:val="auto"/>
          <w:sz w:val="28"/>
          <w:szCs w:val="28"/>
          <w:lang w:val="en-US" w:eastAsia="zh-CN"/>
        </w:rPr>
      </w:pPr>
      <w:r>
        <w:rPr>
          <w:rFonts w:hint="eastAsia" w:ascii="楷体" w:hAnsi="楷体" w:eastAsia="楷体" w:cs="楷体"/>
          <w:sz w:val="28"/>
          <w:szCs w:val="28"/>
          <w:lang w:val="en-US" w:eastAsia="zh-CN"/>
        </w:rPr>
        <w:t>验收标准或规范：</w:t>
      </w:r>
      <w:r>
        <w:rPr>
          <w:rFonts w:hint="eastAsia" w:ascii="楷体" w:hAnsi="楷体" w:eastAsia="楷体" w:cs="楷体"/>
          <w:b w:val="0"/>
          <w:bCs w:val="0"/>
          <w:color w:val="auto"/>
          <w:sz w:val="28"/>
          <w:szCs w:val="28"/>
          <w:lang w:val="en-US" w:eastAsia="zh-CN"/>
        </w:rPr>
        <w:t>达到国家标准，行业标准及采购人要求。</w:t>
      </w:r>
    </w:p>
    <w:p w14:paraId="7E2FE9F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i w:val="0"/>
          <w:iCs w:val="0"/>
          <w:caps w:val="0"/>
          <w:color w:val="000000"/>
          <w:spacing w:val="0"/>
          <w:sz w:val="28"/>
          <w:szCs w:val="28"/>
          <w:lang w:val="en-US" w:eastAsia="zh-CN"/>
        </w:rPr>
      </w:pPr>
      <w:r>
        <w:rPr>
          <w:rFonts w:hint="eastAsia" w:ascii="楷体" w:hAnsi="楷体" w:eastAsia="楷体" w:cs="楷体"/>
          <w:i w:val="0"/>
          <w:iCs w:val="0"/>
          <w:caps w:val="0"/>
          <w:color w:val="000000"/>
          <w:spacing w:val="0"/>
          <w:sz w:val="28"/>
          <w:szCs w:val="28"/>
          <w:lang w:val="en-US" w:eastAsia="zh-CN"/>
        </w:rPr>
        <w:t>违约责任</w:t>
      </w:r>
    </w:p>
    <w:p w14:paraId="06E4BB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供应商</w:t>
      </w:r>
      <w:r>
        <w:rPr>
          <w:rFonts w:hint="eastAsia" w:ascii="楷体" w:hAnsi="楷体" w:eastAsia="楷体" w:cs="楷体"/>
          <w:sz w:val="28"/>
          <w:szCs w:val="28"/>
        </w:rPr>
        <w:t>应按照合同规定的期限完成</w:t>
      </w:r>
      <w:r>
        <w:rPr>
          <w:rFonts w:hint="eastAsia" w:ascii="楷体" w:hAnsi="楷体" w:eastAsia="楷体" w:cs="楷体"/>
          <w:sz w:val="28"/>
          <w:szCs w:val="28"/>
          <w:lang w:val="en-US" w:eastAsia="zh-CN"/>
        </w:rPr>
        <w:t>工程</w:t>
      </w:r>
      <w:r>
        <w:rPr>
          <w:rFonts w:hint="eastAsia" w:ascii="楷体" w:hAnsi="楷体" w:eastAsia="楷体" w:cs="楷体"/>
          <w:sz w:val="28"/>
          <w:szCs w:val="28"/>
        </w:rPr>
        <w:t>，每延迟一天应承担当期应付款2%的违约金，违约金累计不超过当期应付款10%。若违约金累计已达上限，乙方仍未履行，甲方有权解除合同。</w:t>
      </w:r>
    </w:p>
    <w:p w14:paraId="0A2BDAAB">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与本工程相关的特别说明</w:t>
      </w:r>
    </w:p>
    <w:p w14:paraId="23911099">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lang w:val="en-US" w:eastAsia="zh-CN"/>
        </w:rPr>
      </w:pPr>
      <w:r>
        <w:rPr>
          <w:rFonts w:hint="eastAsia" w:ascii="楷体" w:hAnsi="楷体" w:eastAsia="楷体" w:cs="楷体"/>
          <w:sz w:val="28"/>
          <w:szCs w:val="28"/>
          <w:lang w:val="en-US" w:eastAsia="zh-CN"/>
        </w:rPr>
        <w:t xml:space="preserve"> 无</w:t>
      </w:r>
    </w:p>
    <w:sectPr>
      <w:headerReference r:id="rId3" w:type="default"/>
      <w:footerReference r:id="rId4"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C3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F05B">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6F05B">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695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420"/>
    <w:multiLevelType w:val="singleLevel"/>
    <w:tmpl w:val="A731D420"/>
    <w:lvl w:ilvl="0" w:tentative="0">
      <w:start w:val="1"/>
      <w:numFmt w:val="decimal"/>
      <w:suff w:val="nothing"/>
      <w:lvlText w:val="%1、"/>
      <w:lvlJc w:val="left"/>
    </w:lvl>
  </w:abstractNum>
  <w:abstractNum w:abstractNumId="1">
    <w:nsid w:val="3E167995"/>
    <w:multiLevelType w:val="singleLevel"/>
    <w:tmpl w:val="3E167995"/>
    <w:lvl w:ilvl="0" w:tentative="0">
      <w:start w:val="1"/>
      <w:numFmt w:val="decimal"/>
      <w:suff w:val="nothing"/>
      <w:lvlText w:val="（%1）"/>
      <w:lvlJc w:val="left"/>
    </w:lvl>
  </w:abstractNum>
  <w:abstractNum w:abstractNumId="2">
    <w:nsid w:val="4C5D4110"/>
    <w:multiLevelType w:val="singleLevel"/>
    <w:tmpl w:val="4C5D41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E1ODBiYThlODc1YmI2MzE1YjUzOTliMWFlN2IifQ=="/>
  </w:docVars>
  <w:rsids>
    <w:rsidRoot w:val="00000000"/>
    <w:rsid w:val="00572C37"/>
    <w:rsid w:val="005945D9"/>
    <w:rsid w:val="012D0479"/>
    <w:rsid w:val="0328714A"/>
    <w:rsid w:val="059D7824"/>
    <w:rsid w:val="05C55124"/>
    <w:rsid w:val="064B227F"/>
    <w:rsid w:val="070A4C72"/>
    <w:rsid w:val="073F2CB4"/>
    <w:rsid w:val="088A5722"/>
    <w:rsid w:val="089808CE"/>
    <w:rsid w:val="089F1C5C"/>
    <w:rsid w:val="09734E97"/>
    <w:rsid w:val="0976167C"/>
    <w:rsid w:val="0B2D79F3"/>
    <w:rsid w:val="0B3F14D4"/>
    <w:rsid w:val="0B845E93"/>
    <w:rsid w:val="0BCE6119"/>
    <w:rsid w:val="0BF77286"/>
    <w:rsid w:val="0CB47CA0"/>
    <w:rsid w:val="0CCC4D5B"/>
    <w:rsid w:val="0D076022"/>
    <w:rsid w:val="0D0B0E7E"/>
    <w:rsid w:val="0D0E1C89"/>
    <w:rsid w:val="0DCC3411"/>
    <w:rsid w:val="0F1D7F5F"/>
    <w:rsid w:val="10D848DD"/>
    <w:rsid w:val="129F5F88"/>
    <w:rsid w:val="131D034D"/>
    <w:rsid w:val="13F61681"/>
    <w:rsid w:val="143040B0"/>
    <w:rsid w:val="149F2FE4"/>
    <w:rsid w:val="14A3354A"/>
    <w:rsid w:val="15A22D8C"/>
    <w:rsid w:val="15D5391E"/>
    <w:rsid w:val="15E06F47"/>
    <w:rsid w:val="1732013F"/>
    <w:rsid w:val="18095344"/>
    <w:rsid w:val="1A592BA3"/>
    <w:rsid w:val="1B08543C"/>
    <w:rsid w:val="1CB6536F"/>
    <w:rsid w:val="1D840FC9"/>
    <w:rsid w:val="2096173F"/>
    <w:rsid w:val="215018EE"/>
    <w:rsid w:val="217149D9"/>
    <w:rsid w:val="21F27473"/>
    <w:rsid w:val="22C9208B"/>
    <w:rsid w:val="240055F7"/>
    <w:rsid w:val="2429227B"/>
    <w:rsid w:val="271771D5"/>
    <w:rsid w:val="2A6A2C93"/>
    <w:rsid w:val="2A8D5961"/>
    <w:rsid w:val="2B0B2D29"/>
    <w:rsid w:val="2BEA31FD"/>
    <w:rsid w:val="30125F76"/>
    <w:rsid w:val="3441696C"/>
    <w:rsid w:val="348953EB"/>
    <w:rsid w:val="349933B1"/>
    <w:rsid w:val="36163E06"/>
    <w:rsid w:val="368B64A6"/>
    <w:rsid w:val="38CC600A"/>
    <w:rsid w:val="392E1218"/>
    <w:rsid w:val="39657AA9"/>
    <w:rsid w:val="39E3734B"/>
    <w:rsid w:val="3ADE638A"/>
    <w:rsid w:val="3AEC7151"/>
    <w:rsid w:val="3B602C1D"/>
    <w:rsid w:val="3BB97569"/>
    <w:rsid w:val="3C294F12"/>
    <w:rsid w:val="3C3B10A7"/>
    <w:rsid w:val="3CE753A4"/>
    <w:rsid w:val="3CF10420"/>
    <w:rsid w:val="3DD04D61"/>
    <w:rsid w:val="3E742C68"/>
    <w:rsid w:val="3EDF7955"/>
    <w:rsid w:val="3F72508D"/>
    <w:rsid w:val="3FA4757D"/>
    <w:rsid w:val="40155D85"/>
    <w:rsid w:val="40182A15"/>
    <w:rsid w:val="40491ED2"/>
    <w:rsid w:val="411D6616"/>
    <w:rsid w:val="41FD5168"/>
    <w:rsid w:val="42AD7137"/>
    <w:rsid w:val="42DF6B1E"/>
    <w:rsid w:val="439127F7"/>
    <w:rsid w:val="43B74804"/>
    <w:rsid w:val="43D47D05"/>
    <w:rsid w:val="441B3B85"/>
    <w:rsid w:val="442E5C2E"/>
    <w:rsid w:val="445A46AE"/>
    <w:rsid w:val="45162A05"/>
    <w:rsid w:val="45505C97"/>
    <w:rsid w:val="45634C36"/>
    <w:rsid w:val="48B74E96"/>
    <w:rsid w:val="49FB423D"/>
    <w:rsid w:val="4A2547D2"/>
    <w:rsid w:val="4A65551F"/>
    <w:rsid w:val="4BCB3D75"/>
    <w:rsid w:val="4CD751BF"/>
    <w:rsid w:val="4D615A8F"/>
    <w:rsid w:val="4D695962"/>
    <w:rsid w:val="4DA81C7F"/>
    <w:rsid w:val="51A06C9E"/>
    <w:rsid w:val="531128F3"/>
    <w:rsid w:val="558F2B44"/>
    <w:rsid w:val="57BF07B0"/>
    <w:rsid w:val="57CF70E8"/>
    <w:rsid w:val="584609C4"/>
    <w:rsid w:val="58D30654"/>
    <w:rsid w:val="59775239"/>
    <w:rsid w:val="5C747BCE"/>
    <w:rsid w:val="5F541AEF"/>
    <w:rsid w:val="5FE35BF8"/>
    <w:rsid w:val="5FE81449"/>
    <w:rsid w:val="600B2C58"/>
    <w:rsid w:val="60222952"/>
    <w:rsid w:val="60AD25D8"/>
    <w:rsid w:val="62176A20"/>
    <w:rsid w:val="635F5A95"/>
    <w:rsid w:val="649449DA"/>
    <w:rsid w:val="64FF0C2E"/>
    <w:rsid w:val="65A2780B"/>
    <w:rsid w:val="66102E63"/>
    <w:rsid w:val="663F7A7C"/>
    <w:rsid w:val="66FD73EF"/>
    <w:rsid w:val="67711A36"/>
    <w:rsid w:val="67801DCE"/>
    <w:rsid w:val="67EA1613"/>
    <w:rsid w:val="68064081"/>
    <w:rsid w:val="681F6F73"/>
    <w:rsid w:val="69196631"/>
    <w:rsid w:val="6B520171"/>
    <w:rsid w:val="6C174150"/>
    <w:rsid w:val="6CAF2281"/>
    <w:rsid w:val="6D852A9B"/>
    <w:rsid w:val="6F450AD0"/>
    <w:rsid w:val="6F770600"/>
    <w:rsid w:val="704D4CA7"/>
    <w:rsid w:val="71104DD5"/>
    <w:rsid w:val="71634787"/>
    <w:rsid w:val="71EF3DD8"/>
    <w:rsid w:val="721444F1"/>
    <w:rsid w:val="739570A2"/>
    <w:rsid w:val="73AE3C92"/>
    <w:rsid w:val="74687E72"/>
    <w:rsid w:val="74D3353D"/>
    <w:rsid w:val="752A3235"/>
    <w:rsid w:val="75DC28C5"/>
    <w:rsid w:val="784470AD"/>
    <w:rsid w:val="78601618"/>
    <w:rsid w:val="78C957FA"/>
    <w:rsid w:val="790C3D9D"/>
    <w:rsid w:val="79C5304B"/>
    <w:rsid w:val="7BC25FDD"/>
    <w:rsid w:val="7C8B0BA1"/>
    <w:rsid w:val="7CEF1130"/>
    <w:rsid w:val="7D5316BF"/>
    <w:rsid w:val="7E5E4287"/>
    <w:rsid w:val="7F3F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line="360" w:lineRule="auto"/>
      <w:outlineLvl w:val="3"/>
    </w:pPr>
    <w:rPr>
      <w:rFonts w:ascii="Arial" w:hAnsi="Arial"/>
      <w:b/>
      <w:bCs/>
      <w:kern w:val="0"/>
      <w:sz w:val="20"/>
      <w:szCs w:val="28"/>
    </w:rPr>
  </w:style>
  <w:style w:type="paragraph" w:styleId="4">
    <w:name w:val="heading 5"/>
    <w:basedOn w:val="1"/>
    <w:next w:val="1"/>
    <w:qFormat/>
    <w:uiPriority w:val="1"/>
    <w:pPr>
      <w:ind w:left="984"/>
      <w:outlineLvl w:val="5"/>
    </w:pPr>
    <w:rPr>
      <w:rFonts w:ascii="仿宋" w:hAnsi="仿宋" w:eastAsia="仿宋" w:cs="仿宋"/>
      <w:b/>
      <w:bCs/>
      <w:sz w:val="28"/>
      <w:szCs w:val="28"/>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pPr>
      <w:ind w:left="415"/>
    </w:pPr>
    <w:rPr>
      <w:rFonts w:ascii="仿宋" w:hAnsi="仿宋" w:eastAsia="仿宋" w:cs="仿宋"/>
      <w:sz w:val="28"/>
      <w:szCs w:val="28"/>
      <w:lang w:val="zh-CN" w:eastAsia="zh-CN" w:bidi="zh-CN"/>
    </w:rPr>
  </w:style>
  <w:style w:type="paragraph" w:styleId="6">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hint="default" w:ascii="Consolas" w:hAnsi="Consolas" w:eastAsia="Consolas" w:cs="Consolas"/>
      <w:color w:val="FFFFFF"/>
      <w:sz w:val="21"/>
      <w:szCs w:val="21"/>
      <w:bdr w:val="single" w:color="DDDDDD" w:sz="6" w:space="0"/>
      <w:shd w:val="clear" w:fill="333333"/>
    </w:rPr>
  </w:style>
  <w:style w:type="character" w:styleId="18">
    <w:name w:val="HTML Sample"/>
    <w:basedOn w:val="10"/>
    <w:qFormat/>
    <w:uiPriority w:val="0"/>
    <w:rPr>
      <w:rFonts w:ascii="Consolas" w:hAnsi="Consolas" w:eastAsia="Consolas" w:cs="Consolas"/>
      <w:sz w:val="21"/>
      <w:szCs w:val="21"/>
    </w:rPr>
  </w:style>
  <w:style w:type="paragraph" w:customStyle="1" w:styleId="1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1"/>
    <w:rPr>
      <w:rFonts w:ascii="仿宋" w:hAnsi="仿宋" w:eastAsia="仿宋" w:cs="仿宋"/>
      <w:lang w:val="zh-CN" w:eastAsia="zh-CN" w:bidi="zh-CN"/>
    </w:rPr>
  </w:style>
  <w:style w:type="paragraph" w:customStyle="1" w:styleId="21">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character" w:customStyle="1" w:styleId="22">
    <w:name w:val="glyphicon4"/>
    <w:basedOn w:val="10"/>
    <w:qFormat/>
    <w:uiPriority w:val="0"/>
  </w:style>
  <w:style w:type="character" w:customStyle="1" w:styleId="23">
    <w:name w:val="button"/>
    <w:basedOn w:val="10"/>
    <w:qFormat/>
    <w:uiPriority w:val="0"/>
  </w:style>
  <w:style w:type="character" w:customStyle="1" w:styleId="24">
    <w:name w:val="indent"/>
    <w:basedOn w:val="10"/>
    <w:qFormat/>
    <w:uiPriority w:val="0"/>
  </w:style>
  <w:style w:type="character" w:customStyle="1" w:styleId="25">
    <w:name w:val="hover3"/>
    <w:basedOn w:val="10"/>
    <w:qFormat/>
    <w:uiPriority w:val="0"/>
    <w:rPr>
      <w:shd w:val="clear" w:fill="EEEEEE"/>
    </w:rPr>
  </w:style>
  <w:style w:type="character" w:customStyle="1" w:styleId="26">
    <w:name w:val="old"/>
    <w:basedOn w:val="10"/>
    <w:qFormat/>
    <w:uiPriority w:val="0"/>
    <w:rPr>
      <w:color w:val="999999"/>
    </w:rPr>
  </w:style>
  <w:style w:type="character" w:customStyle="1" w:styleId="27">
    <w:name w:val="hour_am"/>
    <w:basedOn w:val="10"/>
    <w:qFormat/>
    <w:uiPriority w:val="0"/>
  </w:style>
  <w:style w:type="character" w:customStyle="1" w:styleId="28">
    <w:name w:val="hour_pm"/>
    <w:basedOn w:val="10"/>
    <w:qFormat/>
    <w:uiPriority w:val="0"/>
  </w:style>
  <w:style w:type="character" w:customStyle="1" w:styleId="29">
    <w:name w:val="tmpztreemove_arrow"/>
    <w:basedOn w:val="10"/>
    <w:qFormat/>
    <w:uiPriority w:val="0"/>
    <w:rPr>
      <w:shd w:val="clear" w:fill="FFFFFF"/>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2717</Words>
  <Characters>2903</Characters>
  <Lines>0</Lines>
  <Paragraphs>0</Paragraphs>
  <TotalTime>5</TotalTime>
  <ScaleCrop>false</ScaleCrop>
  <LinksUpToDate>false</LinksUpToDate>
  <CharactersWithSpaces>3071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Administrator</dc:creator>
  <cp:lastModifiedBy>代理公司</cp:lastModifiedBy>
  <cp:lastPrinted>2022-03-02T01:19:00Z</cp:lastPrinted>
  <dcterms:modified xsi:type="dcterms:W3CDTF">2024-09-04T03:51:38Z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75EF644CA2A74B0F84313F5709492C3F_13</vt:lpwstr>
  </property>
</Properties>
</file>