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F8894">
      <w:pPr>
        <w:pStyle w:val="4"/>
        <w:jc w:val="center"/>
        <w:rPr>
          <w:rFonts w:hint="eastAsia" w:eastAsia="宋体"/>
          <w:lang w:eastAsia="zh-CN"/>
        </w:rPr>
      </w:pPr>
      <w:r>
        <w:rPr>
          <w:rFonts w:hint="eastAsia"/>
          <w:sz w:val="30"/>
          <w:szCs w:val="30"/>
          <w:lang w:val="en-US" w:eastAsia="zh-CN"/>
        </w:rPr>
        <w:t>蓝田县公安局公务车辆采购政府</w:t>
      </w:r>
      <w:r>
        <w:rPr>
          <w:rFonts w:hint="eastAsia"/>
          <w:sz w:val="30"/>
          <w:szCs w:val="30"/>
          <w:lang w:eastAsia="zh-CN"/>
        </w:rPr>
        <w:t>采购需求书</w:t>
      </w:r>
    </w:p>
    <w:tbl>
      <w:tblPr>
        <w:tblStyle w:val="8"/>
        <w:tblpPr w:leftFromText="180" w:rightFromText="180" w:vertAnchor="page" w:horzAnchor="page" w:tblpX="1120" w:tblpY="2088"/>
        <w:tblOverlap w:val="never"/>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77"/>
        <w:gridCol w:w="7138"/>
      </w:tblGrid>
      <w:tr w14:paraId="3076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14:paraId="5E1ABEB5">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277" w:type="dxa"/>
            <w:vAlign w:val="top"/>
          </w:tcPr>
          <w:p w14:paraId="317B7278">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关键事项</w:t>
            </w:r>
          </w:p>
        </w:tc>
        <w:tc>
          <w:tcPr>
            <w:tcW w:w="7138" w:type="dxa"/>
            <w:vAlign w:val="top"/>
          </w:tcPr>
          <w:p w14:paraId="316A76A2">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说明和要求</w:t>
            </w:r>
          </w:p>
        </w:tc>
      </w:tr>
      <w:tr w14:paraId="6D2C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79" w:type="dxa"/>
            <w:vAlign w:val="top"/>
          </w:tcPr>
          <w:p w14:paraId="3CD64341">
            <w:pPr>
              <w:jc w:val="both"/>
              <w:rPr>
                <w:rFonts w:hint="eastAsia"/>
                <w:sz w:val="21"/>
                <w:szCs w:val="21"/>
                <w:vertAlign w:val="baseline"/>
                <w:lang w:val="en-US" w:eastAsia="zh-CN"/>
              </w:rPr>
            </w:pPr>
          </w:p>
          <w:p w14:paraId="1FF20185">
            <w:pPr>
              <w:jc w:val="center"/>
              <w:rPr>
                <w:rFonts w:hint="eastAsia"/>
                <w:sz w:val="21"/>
                <w:szCs w:val="21"/>
                <w:vertAlign w:val="baseline"/>
                <w:lang w:val="en-US" w:eastAsia="zh-CN"/>
              </w:rPr>
            </w:pPr>
          </w:p>
          <w:p w14:paraId="7B2DC2E8">
            <w:pPr>
              <w:jc w:val="center"/>
              <w:rPr>
                <w:rFonts w:hint="default" w:eastAsiaTheme="minorEastAsia"/>
                <w:sz w:val="21"/>
                <w:szCs w:val="21"/>
                <w:vertAlign w:val="baseline"/>
                <w:lang w:val="en-US" w:eastAsia="zh-CN"/>
              </w:rPr>
            </w:pPr>
            <w:r>
              <w:rPr>
                <w:rFonts w:hint="eastAsia"/>
                <w:sz w:val="21"/>
                <w:szCs w:val="21"/>
                <w:vertAlign w:val="baseline"/>
                <w:lang w:val="en-US" w:eastAsia="zh-CN"/>
              </w:rPr>
              <w:t>1</w:t>
            </w:r>
          </w:p>
        </w:tc>
        <w:tc>
          <w:tcPr>
            <w:tcW w:w="1277" w:type="dxa"/>
            <w:vAlign w:val="top"/>
          </w:tcPr>
          <w:p w14:paraId="6F1E0E51">
            <w:pPr>
              <w:jc w:val="center"/>
              <w:rPr>
                <w:rFonts w:hint="eastAsia"/>
                <w:sz w:val="21"/>
                <w:szCs w:val="21"/>
                <w:vertAlign w:val="baseline"/>
                <w:lang w:val="en-US" w:eastAsia="zh-CN"/>
              </w:rPr>
            </w:pPr>
          </w:p>
          <w:p w14:paraId="734E1287">
            <w:pPr>
              <w:jc w:val="center"/>
              <w:rPr>
                <w:rFonts w:hint="eastAsia"/>
                <w:sz w:val="21"/>
                <w:szCs w:val="21"/>
                <w:vertAlign w:val="baseline"/>
                <w:lang w:val="en-US" w:eastAsia="zh-CN"/>
              </w:rPr>
            </w:pPr>
          </w:p>
          <w:p w14:paraId="78138927">
            <w:pPr>
              <w:jc w:val="center"/>
              <w:rPr>
                <w:rFonts w:hint="default" w:eastAsiaTheme="minorEastAsia"/>
                <w:sz w:val="21"/>
                <w:szCs w:val="21"/>
                <w:vertAlign w:val="baseline"/>
                <w:lang w:val="en-US" w:eastAsia="zh-CN"/>
              </w:rPr>
            </w:pPr>
            <w:r>
              <w:rPr>
                <w:rFonts w:hint="eastAsia"/>
                <w:sz w:val="21"/>
                <w:szCs w:val="21"/>
                <w:vertAlign w:val="baseline"/>
                <w:lang w:val="en-US" w:eastAsia="zh-CN"/>
              </w:rPr>
              <w:t>采购预算</w:t>
            </w:r>
          </w:p>
        </w:tc>
        <w:tc>
          <w:tcPr>
            <w:tcW w:w="7138" w:type="dxa"/>
            <w:vAlign w:val="top"/>
          </w:tcPr>
          <w:p w14:paraId="54B9B55C">
            <w:pPr>
              <w:jc w:val="both"/>
              <w:rPr>
                <w:rFonts w:hint="eastAsia"/>
                <w:sz w:val="21"/>
                <w:szCs w:val="21"/>
                <w:u w:val="none"/>
                <w:vertAlign w:val="baseline"/>
                <w:lang w:val="en-US" w:eastAsia="zh-CN"/>
              </w:rPr>
            </w:pPr>
            <w:r>
              <w:rPr>
                <w:rFonts w:hint="eastAsia"/>
                <w:sz w:val="21"/>
                <w:szCs w:val="21"/>
                <w:vertAlign w:val="baseline"/>
                <w:lang w:val="en-US" w:eastAsia="zh-CN"/>
              </w:rPr>
              <w:t>人民币</w:t>
            </w:r>
            <w:r>
              <w:rPr>
                <w:rFonts w:hint="eastAsia"/>
                <w:b w:val="0"/>
                <w:bCs w:val="0"/>
                <w:sz w:val="21"/>
                <w:szCs w:val="21"/>
                <w:u w:val="single"/>
                <w:lang w:val="en-US" w:eastAsia="zh-CN"/>
              </w:rPr>
              <w:t>178</w:t>
            </w:r>
            <w:r>
              <w:rPr>
                <w:rFonts w:hint="eastAsia"/>
                <w:b w:val="0"/>
                <w:bCs w:val="0"/>
                <w:sz w:val="21"/>
                <w:szCs w:val="21"/>
                <w:u w:val="none"/>
                <w:lang w:val="en-US" w:eastAsia="zh-CN"/>
              </w:rPr>
              <w:t>万</w:t>
            </w:r>
            <w:r>
              <w:rPr>
                <w:rFonts w:hint="eastAsia"/>
                <w:sz w:val="21"/>
                <w:szCs w:val="21"/>
                <w:u w:val="none"/>
                <w:vertAlign w:val="baseline"/>
                <w:lang w:val="en-US" w:eastAsia="zh-CN"/>
              </w:rPr>
              <w:t>元</w:t>
            </w:r>
          </w:p>
          <w:p w14:paraId="0A720467">
            <w:pPr>
              <w:jc w:val="both"/>
              <w:rPr>
                <w:rFonts w:hint="default"/>
                <w:sz w:val="21"/>
                <w:szCs w:val="21"/>
                <w:u w:val="none"/>
                <w:vertAlign w:val="baseline"/>
                <w:lang w:val="en-US" w:eastAsia="zh-CN"/>
              </w:rPr>
            </w:pPr>
            <w:r>
              <w:rPr>
                <w:rFonts w:hint="eastAsia"/>
                <w:sz w:val="21"/>
                <w:szCs w:val="21"/>
                <w:u w:val="none"/>
                <w:vertAlign w:val="baseline"/>
                <w:lang w:val="en-US" w:eastAsia="zh-CN"/>
              </w:rPr>
              <w:t>仅指与本次采购标的直接相关的费用，前期勘察费、设计费等已发生的费用，以及监理费、接口费等未来预留费用，不应当包含在本项目采购预算内，甲方须向本级财政部门经费业务处室申请办理经费剥离手续。</w:t>
            </w:r>
          </w:p>
        </w:tc>
      </w:tr>
      <w:tr w14:paraId="147E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79" w:type="dxa"/>
            <w:vAlign w:val="top"/>
          </w:tcPr>
          <w:p w14:paraId="62DCBBBB">
            <w:pPr>
              <w:jc w:val="center"/>
              <w:rPr>
                <w:rFonts w:hint="eastAsia"/>
                <w:sz w:val="21"/>
                <w:szCs w:val="21"/>
                <w:vertAlign w:val="baseline"/>
                <w:lang w:val="en-US" w:eastAsia="zh-CN"/>
              </w:rPr>
            </w:pPr>
          </w:p>
          <w:p w14:paraId="74E7D2AC">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1277" w:type="dxa"/>
            <w:vAlign w:val="top"/>
          </w:tcPr>
          <w:p w14:paraId="48221B91">
            <w:pPr>
              <w:jc w:val="center"/>
              <w:rPr>
                <w:rFonts w:hint="eastAsia"/>
                <w:sz w:val="21"/>
                <w:szCs w:val="21"/>
                <w:vertAlign w:val="baseline"/>
                <w:lang w:val="en-US" w:eastAsia="zh-CN"/>
              </w:rPr>
            </w:pPr>
          </w:p>
          <w:p w14:paraId="20A194C1">
            <w:pPr>
              <w:jc w:val="center"/>
              <w:rPr>
                <w:rFonts w:hint="default" w:eastAsiaTheme="minorEastAsia"/>
                <w:sz w:val="21"/>
                <w:szCs w:val="21"/>
                <w:vertAlign w:val="baseline"/>
                <w:lang w:val="en-US" w:eastAsia="zh-CN"/>
              </w:rPr>
            </w:pPr>
            <w:r>
              <w:rPr>
                <w:rFonts w:hint="eastAsia"/>
                <w:sz w:val="21"/>
                <w:szCs w:val="21"/>
                <w:vertAlign w:val="baseline"/>
                <w:lang w:val="en-US" w:eastAsia="zh-CN"/>
              </w:rPr>
              <w:t>最高限价</w:t>
            </w:r>
          </w:p>
        </w:tc>
        <w:tc>
          <w:tcPr>
            <w:tcW w:w="7138" w:type="dxa"/>
            <w:vAlign w:val="top"/>
          </w:tcPr>
          <w:p w14:paraId="0EACAD02">
            <w:pPr>
              <w:jc w:val="both"/>
              <w:rPr>
                <w:rFonts w:hint="default"/>
                <w:sz w:val="21"/>
                <w:szCs w:val="21"/>
                <w:u w:val="none"/>
                <w:vertAlign w:val="baseline"/>
                <w:lang w:val="en-US" w:eastAsia="zh-CN"/>
              </w:rPr>
            </w:pPr>
            <w:r>
              <w:rPr>
                <w:rFonts w:hint="eastAsia"/>
                <w:sz w:val="21"/>
                <w:szCs w:val="21"/>
                <w:vertAlign w:val="baseline"/>
                <w:lang w:val="en-US" w:eastAsia="zh-CN"/>
              </w:rPr>
              <w:t>人民币</w:t>
            </w:r>
            <w:r>
              <w:rPr>
                <w:rFonts w:hint="eastAsia"/>
                <w:b w:val="0"/>
                <w:bCs w:val="0"/>
                <w:sz w:val="21"/>
                <w:szCs w:val="21"/>
                <w:u w:val="single"/>
                <w:lang w:val="en-US" w:eastAsia="zh-CN"/>
              </w:rPr>
              <w:t>178</w:t>
            </w:r>
            <w:r>
              <w:rPr>
                <w:rFonts w:hint="eastAsia"/>
                <w:b w:val="0"/>
                <w:bCs w:val="0"/>
                <w:sz w:val="21"/>
                <w:szCs w:val="21"/>
                <w:u w:val="none"/>
                <w:lang w:val="en-US" w:eastAsia="zh-CN"/>
              </w:rPr>
              <w:t>万</w:t>
            </w:r>
            <w:r>
              <w:rPr>
                <w:rFonts w:hint="eastAsia"/>
                <w:sz w:val="21"/>
                <w:szCs w:val="21"/>
                <w:u w:val="none"/>
                <w:vertAlign w:val="baseline"/>
                <w:lang w:val="en-US" w:eastAsia="zh-CN"/>
              </w:rPr>
              <w:t>元</w:t>
            </w:r>
          </w:p>
          <w:p w14:paraId="5201459A">
            <w:pPr>
              <w:jc w:val="both"/>
              <w:rPr>
                <w:rFonts w:hint="default"/>
                <w:sz w:val="21"/>
                <w:szCs w:val="21"/>
                <w:u w:val="single"/>
                <w:vertAlign w:val="baseline"/>
                <w:lang w:val="en-US" w:eastAsia="zh-CN"/>
              </w:rPr>
            </w:pPr>
            <w:r>
              <w:rPr>
                <w:rFonts w:hint="eastAsia"/>
                <w:sz w:val="21"/>
                <w:szCs w:val="21"/>
                <w:u w:val="none"/>
                <w:vertAlign w:val="baseline"/>
                <w:lang w:val="en-US" w:eastAsia="zh-CN"/>
              </w:rPr>
              <w:t>供应商投标报价高于最高限额价的则其投标文件将按无效投标文件处理。</w:t>
            </w:r>
          </w:p>
        </w:tc>
      </w:tr>
      <w:tr w14:paraId="3FF8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79" w:type="dxa"/>
            <w:vMerge w:val="restart"/>
            <w:vAlign w:val="top"/>
          </w:tcPr>
          <w:p w14:paraId="4718108C">
            <w:pPr>
              <w:jc w:val="center"/>
              <w:rPr>
                <w:rFonts w:hint="eastAsia"/>
                <w:sz w:val="21"/>
                <w:szCs w:val="21"/>
                <w:vertAlign w:val="baseline"/>
                <w:lang w:val="en-US" w:eastAsia="zh-CN"/>
              </w:rPr>
            </w:pPr>
          </w:p>
          <w:p w14:paraId="19E3199B">
            <w:pPr>
              <w:jc w:val="center"/>
              <w:rPr>
                <w:rFonts w:hint="eastAsia"/>
                <w:sz w:val="21"/>
                <w:szCs w:val="21"/>
                <w:vertAlign w:val="baseline"/>
                <w:lang w:val="en-US" w:eastAsia="zh-CN"/>
              </w:rPr>
            </w:pPr>
            <w:r>
              <w:rPr>
                <w:rFonts w:hint="eastAsia"/>
                <w:sz w:val="21"/>
                <w:szCs w:val="21"/>
                <w:vertAlign w:val="baseline"/>
                <w:lang w:val="en-US" w:eastAsia="zh-CN"/>
              </w:rPr>
              <w:t xml:space="preserve"> </w:t>
            </w:r>
          </w:p>
          <w:p w14:paraId="203BEABD">
            <w:pPr>
              <w:jc w:val="center"/>
              <w:rPr>
                <w:rFonts w:hint="eastAsia"/>
                <w:sz w:val="21"/>
                <w:szCs w:val="21"/>
                <w:vertAlign w:val="baseline"/>
                <w:lang w:val="en-US" w:eastAsia="zh-CN"/>
              </w:rPr>
            </w:pPr>
          </w:p>
          <w:p w14:paraId="5676B26F">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1277" w:type="dxa"/>
            <w:vMerge w:val="restart"/>
            <w:vAlign w:val="top"/>
          </w:tcPr>
          <w:p w14:paraId="15597E94">
            <w:pPr>
              <w:jc w:val="center"/>
              <w:rPr>
                <w:rFonts w:hint="eastAsia"/>
                <w:sz w:val="21"/>
                <w:szCs w:val="21"/>
                <w:vertAlign w:val="baseline"/>
                <w:lang w:val="en-US" w:eastAsia="zh-CN"/>
              </w:rPr>
            </w:pPr>
          </w:p>
          <w:p w14:paraId="79A92123">
            <w:pPr>
              <w:jc w:val="center"/>
              <w:rPr>
                <w:rFonts w:hint="eastAsia"/>
                <w:sz w:val="21"/>
                <w:szCs w:val="21"/>
                <w:vertAlign w:val="baseline"/>
                <w:lang w:val="en-US" w:eastAsia="zh-CN"/>
              </w:rPr>
            </w:pPr>
          </w:p>
          <w:p w14:paraId="79C362D3">
            <w:pPr>
              <w:jc w:val="center"/>
              <w:rPr>
                <w:rFonts w:hint="eastAsia"/>
                <w:sz w:val="21"/>
                <w:szCs w:val="21"/>
                <w:vertAlign w:val="baseline"/>
                <w:lang w:val="en-US" w:eastAsia="zh-CN"/>
              </w:rPr>
            </w:pPr>
          </w:p>
          <w:p w14:paraId="4051FDE6">
            <w:pPr>
              <w:jc w:val="center"/>
              <w:rPr>
                <w:rFonts w:hint="eastAsia" w:eastAsiaTheme="minorEastAsia"/>
                <w:sz w:val="21"/>
                <w:szCs w:val="21"/>
                <w:vertAlign w:val="baseline"/>
                <w:lang w:val="en-US" w:eastAsia="zh-CN"/>
              </w:rPr>
            </w:pPr>
            <w:r>
              <w:rPr>
                <w:rFonts w:hint="eastAsia"/>
                <w:sz w:val="21"/>
                <w:szCs w:val="21"/>
                <w:vertAlign w:val="baseline"/>
                <w:lang w:val="en-US" w:eastAsia="zh-CN"/>
              </w:rPr>
              <w:t>项目性质</w:t>
            </w:r>
          </w:p>
        </w:tc>
        <w:tc>
          <w:tcPr>
            <w:tcW w:w="7138" w:type="dxa"/>
            <w:vAlign w:val="top"/>
          </w:tcPr>
          <w:p w14:paraId="0B0ACB42">
            <w:pPr>
              <w:jc w:val="both"/>
              <w:rPr>
                <w:rFonts w:hint="eastAsia" w:eastAsia="宋体"/>
                <w:sz w:val="21"/>
                <w:szCs w:val="21"/>
                <w:vertAlign w:val="baseline"/>
                <w:lang w:val="en-US" w:eastAsia="zh-CN"/>
              </w:rPr>
            </w:pPr>
            <w:r>
              <w:rPr>
                <w:rFonts w:hint="eastAsia" w:ascii="宋体" w:hAnsi="宋体" w:eastAsia="宋体" w:cs="宋体"/>
                <w:sz w:val="21"/>
                <w:szCs w:val="21"/>
                <w:vertAlign w:val="baseline"/>
              </w:rPr>
              <w:t>○</w:t>
            </w:r>
            <w:r>
              <w:rPr>
                <w:rFonts w:hint="eastAsia" w:eastAsia="宋体"/>
                <w:sz w:val="21"/>
                <w:szCs w:val="21"/>
                <w:vertAlign w:val="baseline"/>
                <w:lang w:val="en-US" w:eastAsia="zh-CN"/>
              </w:rPr>
              <w:t>专门面向中小企业采购</w:t>
            </w:r>
          </w:p>
          <w:p w14:paraId="26314496">
            <w:pPr>
              <w:jc w:val="both"/>
              <w:rPr>
                <w:rFonts w:hint="default" w:eastAsia="宋体"/>
                <w:sz w:val="21"/>
                <w:szCs w:val="21"/>
                <w:vertAlign w:val="baseline"/>
                <w:lang w:val="en-US" w:eastAsia="zh-CN"/>
              </w:rPr>
            </w:pPr>
            <w:r>
              <w:rPr>
                <w:rFonts w:hint="eastAsia" w:eastAsia="宋体"/>
                <w:sz w:val="21"/>
                <w:szCs w:val="21"/>
                <w:vertAlign w:val="baseline"/>
                <w:lang w:val="en-US" w:eastAsia="zh-CN"/>
              </w:rPr>
              <w:t>仅允许中小企业或小型、微型企业参与投标。</w:t>
            </w:r>
          </w:p>
        </w:tc>
      </w:tr>
      <w:tr w14:paraId="495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top"/>
          </w:tcPr>
          <w:p w14:paraId="1CED06D6">
            <w:pPr>
              <w:jc w:val="center"/>
              <w:rPr>
                <w:sz w:val="21"/>
                <w:szCs w:val="21"/>
                <w:vertAlign w:val="baseline"/>
              </w:rPr>
            </w:pPr>
          </w:p>
        </w:tc>
        <w:tc>
          <w:tcPr>
            <w:tcW w:w="1277" w:type="dxa"/>
            <w:vMerge w:val="continue"/>
            <w:vAlign w:val="top"/>
          </w:tcPr>
          <w:p w14:paraId="4BC943A9">
            <w:pPr>
              <w:jc w:val="center"/>
              <w:rPr>
                <w:sz w:val="21"/>
                <w:szCs w:val="21"/>
                <w:vertAlign w:val="baseline"/>
              </w:rPr>
            </w:pPr>
          </w:p>
        </w:tc>
        <w:tc>
          <w:tcPr>
            <w:tcW w:w="7138" w:type="dxa"/>
            <w:vAlign w:val="top"/>
          </w:tcPr>
          <w:p w14:paraId="3D6303EC">
            <w:pPr>
              <w:jc w:val="both"/>
              <w:rPr>
                <w:rFonts w:hint="eastAsia" w:ascii="宋体" w:hAnsi="宋体" w:eastAsia="宋体" w:cs="宋体"/>
                <w:sz w:val="21"/>
                <w:szCs w:val="21"/>
                <w:vertAlign w:val="baseline"/>
                <w:lang w:val="en-US" w:eastAsia="zh-CN"/>
              </w:rPr>
            </w:pPr>
            <w:r>
              <w:rPr>
                <w:rFonts w:hint="default" w:ascii="Arial" w:hAnsi="Arial" w:eastAsia="宋体" w:cs="Arial"/>
                <w:sz w:val="21"/>
                <w:szCs w:val="21"/>
                <w:vertAlign w:val="baseline"/>
              </w:rPr>
              <w:t>√</w:t>
            </w:r>
            <w:r>
              <w:rPr>
                <w:rFonts w:hint="eastAsia" w:ascii="宋体" w:hAnsi="宋体" w:eastAsia="宋体" w:cs="宋体"/>
                <w:sz w:val="21"/>
                <w:szCs w:val="21"/>
                <w:vertAlign w:val="baseline"/>
                <w:lang w:val="en-US" w:eastAsia="zh-CN"/>
              </w:rPr>
              <w:t>非专门面向中小企业采购</w:t>
            </w:r>
          </w:p>
          <w:p w14:paraId="4CB45247">
            <w:pPr>
              <w:jc w:val="both"/>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vertAlign w:val="baseline"/>
                <w:lang w:val="en-US" w:eastAsia="zh-CN"/>
              </w:rPr>
              <w:t>对符合《政府采购促进中小企业发展管理办法》（财库{2020}46号）规定的小微企业（监狱企业视同小型、微型企业）的报价给予</w:t>
            </w:r>
            <w:r>
              <w:rPr>
                <w:rFonts w:hint="eastAsia" w:ascii="宋体" w:hAnsi="宋体" w:eastAsia="宋体" w:cs="宋体"/>
                <w:sz w:val="21"/>
                <w:szCs w:val="21"/>
                <w:u w:val="single"/>
                <w:vertAlign w:val="baseline"/>
                <w:lang w:val="en-US" w:eastAsia="zh-CN"/>
              </w:rPr>
              <w:t xml:space="preserve"> 10 </w:t>
            </w:r>
            <w:r>
              <w:rPr>
                <w:rFonts w:hint="eastAsia" w:ascii="宋体" w:hAnsi="宋体" w:eastAsia="宋体" w:cs="宋体"/>
                <w:sz w:val="21"/>
                <w:szCs w:val="21"/>
                <w:u w:val="none"/>
                <w:vertAlign w:val="baseline"/>
                <w:lang w:val="en-US" w:eastAsia="zh-CN"/>
              </w:rPr>
              <w:t>%（6%—10%）的扣除，用扣除后的价格参加评审。</w:t>
            </w:r>
          </w:p>
        </w:tc>
      </w:tr>
      <w:tr w14:paraId="214A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14:paraId="1C0D7B5F">
            <w:pPr>
              <w:jc w:val="center"/>
              <w:rPr>
                <w:rFonts w:hint="eastAsia"/>
                <w:sz w:val="21"/>
                <w:szCs w:val="21"/>
                <w:vertAlign w:val="baseline"/>
                <w:lang w:val="en-US" w:eastAsia="zh-CN"/>
              </w:rPr>
            </w:pPr>
          </w:p>
          <w:p w14:paraId="7A6636E7">
            <w:pPr>
              <w:jc w:val="center"/>
              <w:rPr>
                <w:rFonts w:hint="eastAsia"/>
                <w:sz w:val="21"/>
                <w:szCs w:val="21"/>
                <w:vertAlign w:val="baseline"/>
                <w:lang w:val="en-US" w:eastAsia="zh-CN"/>
              </w:rPr>
            </w:pPr>
          </w:p>
          <w:p w14:paraId="0DC1AADE">
            <w:pPr>
              <w:jc w:val="center"/>
              <w:rPr>
                <w:rFonts w:hint="eastAsia"/>
                <w:sz w:val="21"/>
                <w:szCs w:val="21"/>
                <w:vertAlign w:val="baseline"/>
                <w:lang w:val="en-US" w:eastAsia="zh-CN"/>
              </w:rPr>
            </w:pPr>
          </w:p>
          <w:p w14:paraId="14FC2E65">
            <w:pPr>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1277" w:type="dxa"/>
            <w:vAlign w:val="top"/>
          </w:tcPr>
          <w:p w14:paraId="2625401B">
            <w:pPr>
              <w:jc w:val="center"/>
              <w:rPr>
                <w:rFonts w:hint="eastAsia"/>
                <w:sz w:val="21"/>
                <w:szCs w:val="21"/>
                <w:vertAlign w:val="baseline"/>
                <w:lang w:val="en-US" w:eastAsia="zh-CN"/>
              </w:rPr>
            </w:pPr>
          </w:p>
          <w:p w14:paraId="4ADDBBCB">
            <w:pPr>
              <w:jc w:val="center"/>
              <w:rPr>
                <w:rFonts w:hint="eastAsia"/>
                <w:sz w:val="21"/>
                <w:szCs w:val="21"/>
                <w:vertAlign w:val="baseline"/>
                <w:lang w:val="en-US" w:eastAsia="zh-CN"/>
              </w:rPr>
            </w:pPr>
          </w:p>
          <w:p w14:paraId="2C93595D">
            <w:pPr>
              <w:jc w:val="center"/>
              <w:rPr>
                <w:rFonts w:hint="eastAsia"/>
                <w:sz w:val="21"/>
                <w:szCs w:val="21"/>
                <w:vertAlign w:val="baseline"/>
                <w:lang w:val="en-US" w:eastAsia="zh-CN"/>
              </w:rPr>
            </w:pPr>
            <w:r>
              <w:rPr>
                <w:rFonts w:hint="eastAsia"/>
                <w:sz w:val="21"/>
                <w:szCs w:val="21"/>
                <w:vertAlign w:val="baseline"/>
                <w:lang w:val="en-US" w:eastAsia="zh-CN"/>
              </w:rPr>
              <w:t>对供应商的</w:t>
            </w:r>
          </w:p>
          <w:p w14:paraId="37C3F277">
            <w:pPr>
              <w:jc w:val="center"/>
              <w:rPr>
                <w:rFonts w:hint="default"/>
                <w:sz w:val="21"/>
                <w:szCs w:val="21"/>
                <w:vertAlign w:val="baseline"/>
                <w:lang w:val="en-US" w:eastAsia="zh-CN"/>
              </w:rPr>
            </w:pPr>
            <w:r>
              <w:rPr>
                <w:rFonts w:hint="eastAsia"/>
                <w:sz w:val="21"/>
                <w:szCs w:val="21"/>
                <w:vertAlign w:val="baseline"/>
                <w:lang w:val="en-US" w:eastAsia="zh-CN"/>
              </w:rPr>
              <w:t>资格要求</w:t>
            </w:r>
          </w:p>
        </w:tc>
        <w:tc>
          <w:tcPr>
            <w:tcW w:w="7138" w:type="dxa"/>
            <w:vAlign w:val="top"/>
          </w:tcPr>
          <w:p w14:paraId="35BD37D9">
            <w:pPr>
              <w:numPr>
                <w:ilvl w:val="0"/>
                <w:numId w:val="1"/>
              </w:numPr>
              <w:jc w:val="both"/>
              <w:rPr>
                <w:rFonts w:hint="default" w:eastAsiaTheme="minorEastAsia"/>
                <w:sz w:val="21"/>
                <w:szCs w:val="21"/>
                <w:u w:val="single"/>
                <w:vertAlign w:val="baseline"/>
                <w:lang w:val="en-US" w:eastAsia="zh-CN"/>
              </w:rPr>
            </w:pPr>
            <w:r>
              <w:rPr>
                <w:rFonts w:hint="eastAsia"/>
                <w:sz w:val="21"/>
                <w:szCs w:val="21"/>
                <w:u w:val="single"/>
                <w:vertAlign w:val="baseline"/>
                <w:lang w:val="en-US" w:eastAsia="zh-CN"/>
              </w:rPr>
              <w:t xml:space="preserve">满足《中华人民共和国政府采购法》第二十二条的规定；         </w:t>
            </w:r>
          </w:p>
          <w:p w14:paraId="27950DCE">
            <w:pPr>
              <w:numPr>
                <w:ilvl w:val="0"/>
                <w:numId w:val="0"/>
              </w:numPr>
              <w:jc w:val="both"/>
              <w:rPr>
                <w:rFonts w:hint="default" w:eastAsiaTheme="minorEastAsia"/>
                <w:sz w:val="21"/>
                <w:szCs w:val="21"/>
                <w:u w:val="single"/>
                <w:vertAlign w:val="baseline"/>
                <w:lang w:val="en-US" w:eastAsia="zh-CN"/>
              </w:rPr>
            </w:pPr>
            <w:r>
              <w:rPr>
                <w:rFonts w:hint="eastAsia"/>
                <w:sz w:val="21"/>
                <w:szCs w:val="21"/>
                <w:u w:val="none"/>
                <w:vertAlign w:val="baseline"/>
                <w:lang w:val="en-US" w:eastAsia="zh-CN"/>
              </w:rPr>
              <w:t>2、</w:t>
            </w:r>
            <w:r>
              <w:rPr>
                <w:rFonts w:hint="eastAsia"/>
                <w:sz w:val="21"/>
                <w:szCs w:val="21"/>
                <w:u w:val="single"/>
                <w:vertAlign w:val="baseline"/>
                <w:lang w:val="en-US" w:eastAsia="zh-CN"/>
              </w:rPr>
              <w:t>所投车辆车型必须在国家发改委或工信部发布的《车辆生产企业及产品》公告内；</w:t>
            </w:r>
          </w:p>
          <w:p w14:paraId="6247E7D9">
            <w:pPr>
              <w:numPr>
                <w:ilvl w:val="0"/>
                <w:numId w:val="0"/>
              </w:numPr>
              <w:ind w:left="0" w:leftChars="0" w:firstLine="0" w:firstLineChars="0"/>
              <w:jc w:val="both"/>
              <w:rPr>
                <w:rFonts w:hint="default" w:eastAsiaTheme="minorEastAsia"/>
                <w:sz w:val="21"/>
                <w:szCs w:val="21"/>
                <w:u w:val="single"/>
                <w:vertAlign w:val="baseline"/>
                <w:lang w:val="en-US" w:eastAsia="zh-CN"/>
              </w:rPr>
            </w:pPr>
            <w:r>
              <w:rPr>
                <w:rFonts w:hint="eastAsia"/>
                <w:sz w:val="21"/>
                <w:szCs w:val="21"/>
                <w:u w:val="none"/>
                <w:vertAlign w:val="baseline"/>
                <w:lang w:val="en-US" w:eastAsia="zh-CN"/>
              </w:rPr>
              <w:t>根据《政府采购促进中小企业发展管理办法》（财库{2020}46号）的规定，不得以企业注册资本、资产总额、营业收入、从业人员、利润、纳税额等规模条件和财务指标作为供应商的资格要求或者评审因素，不得财企业股权结构、经营年限等方面对中小企业实行差别待遇或者歧视待遇。</w:t>
            </w:r>
          </w:p>
        </w:tc>
      </w:tr>
      <w:tr w14:paraId="73D6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top"/>
          </w:tcPr>
          <w:p w14:paraId="34C3EB88">
            <w:pPr>
              <w:jc w:val="center"/>
              <w:rPr>
                <w:rFonts w:hint="eastAsia"/>
                <w:sz w:val="21"/>
                <w:szCs w:val="21"/>
                <w:vertAlign w:val="baseline"/>
                <w:lang w:val="en-US" w:eastAsia="zh-CN"/>
              </w:rPr>
            </w:pPr>
          </w:p>
          <w:p w14:paraId="1CA00C7F">
            <w:pPr>
              <w:jc w:val="center"/>
              <w:rPr>
                <w:rFonts w:hint="eastAsia"/>
                <w:sz w:val="21"/>
                <w:szCs w:val="21"/>
                <w:vertAlign w:val="baseline"/>
                <w:lang w:val="en-US" w:eastAsia="zh-CN"/>
              </w:rPr>
            </w:pPr>
          </w:p>
          <w:p w14:paraId="518BFECA">
            <w:pPr>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1277" w:type="dxa"/>
            <w:vMerge w:val="restart"/>
            <w:vAlign w:val="top"/>
          </w:tcPr>
          <w:p w14:paraId="1BC17A72">
            <w:pPr>
              <w:jc w:val="center"/>
              <w:rPr>
                <w:rFonts w:hint="eastAsia"/>
                <w:sz w:val="21"/>
                <w:szCs w:val="21"/>
                <w:vertAlign w:val="baseline"/>
                <w:lang w:val="en-US" w:eastAsia="zh-CN"/>
              </w:rPr>
            </w:pPr>
          </w:p>
          <w:p w14:paraId="05C2FE0A">
            <w:pPr>
              <w:jc w:val="center"/>
              <w:rPr>
                <w:rFonts w:hint="eastAsia"/>
                <w:sz w:val="21"/>
                <w:szCs w:val="21"/>
                <w:vertAlign w:val="baseline"/>
                <w:lang w:val="en-US" w:eastAsia="zh-CN"/>
              </w:rPr>
            </w:pPr>
          </w:p>
          <w:p w14:paraId="482D6C7C">
            <w:pPr>
              <w:jc w:val="center"/>
              <w:rPr>
                <w:rFonts w:hint="eastAsia"/>
                <w:sz w:val="21"/>
                <w:szCs w:val="21"/>
                <w:vertAlign w:val="baseline"/>
                <w:lang w:val="en-US" w:eastAsia="zh-CN"/>
              </w:rPr>
            </w:pPr>
            <w:r>
              <w:rPr>
                <w:rFonts w:hint="eastAsia"/>
                <w:sz w:val="21"/>
                <w:szCs w:val="21"/>
                <w:vertAlign w:val="baseline"/>
                <w:lang w:val="en-US" w:eastAsia="zh-CN"/>
              </w:rPr>
              <w:t>是否接受</w:t>
            </w:r>
          </w:p>
          <w:p w14:paraId="7B786234">
            <w:pPr>
              <w:jc w:val="center"/>
              <w:rPr>
                <w:rFonts w:hint="default"/>
                <w:sz w:val="21"/>
                <w:szCs w:val="21"/>
                <w:vertAlign w:val="baseline"/>
                <w:lang w:val="en-US" w:eastAsia="zh-CN"/>
              </w:rPr>
            </w:pPr>
            <w:r>
              <w:rPr>
                <w:rFonts w:hint="eastAsia"/>
                <w:sz w:val="21"/>
                <w:szCs w:val="21"/>
                <w:vertAlign w:val="baseline"/>
                <w:lang w:val="en-US" w:eastAsia="zh-CN"/>
              </w:rPr>
              <w:t>联合体投标</w:t>
            </w:r>
          </w:p>
        </w:tc>
        <w:tc>
          <w:tcPr>
            <w:tcW w:w="7138" w:type="dxa"/>
            <w:vAlign w:val="top"/>
          </w:tcPr>
          <w:p w14:paraId="2DA5616A">
            <w:pPr>
              <w:jc w:val="both"/>
              <w:rPr>
                <w:rFonts w:hint="eastAsia" w:asciiTheme="minorEastAsia" w:hAnsiTheme="minorEastAsia" w:cstheme="minorEastAsia"/>
                <w:sz w:val="21"/>
                <w:szCs w:val="21"/>
                <w:vertAlign w:val="baseline"/>
                <w:lang w:val="en-US" w:eastAsia="zh-CN"/>
              </w:rPr>
            </w:pPr>
            <w:r>
              <w:rPr>
                <w:rFonts w:hint="eastAsia" w:ascii="宋体" w:hAnsi="宋体" w:eastAsia="宋体" w:cs="宋体"/>
                <w:sz w:val="21"/>
                <w:szCs w:val="21"/>
                <w:vertAlign w:val="baseline"/>
              </w:rPr>
              <w:t>○</w:t>
            </w:r>
            <w:r>
              <w:rPr>
                <w:rFonts w:hint="eastAsia" w:asciiTheme="minorEastAsia" w:hAnsiTheme="minorEastAsia" w:cstheme="minorEastAsia"/>
                <w:sz w:val="21"/>
                <w:szCs w:val="21"/>
                <w:vertAlign w:val="baseline"/>
                <w:lang w:val="en-US" w:eastAsia="zh-CN"/>
              </w:rPr>
              <w:t>接受</w:t>
            </w:r>
          </w:p>
          <w:p w14:paraId="71D52EA5">
            <w:pPr>
              <w:jc w:val="both"/>
              <w:rPr>
                <w:rFonts w:hint="default" w:asciiTheme="minorEastAsia" w:hAnsiTheme="minorEastAsia" w:cstheme="minorEastAsia"/>
                <w:sz w:val="21"/>
                <w:szCs w:val="21"/>
                <w:u w:val="none"/>
                <w:vertAlign w:val="baseline"/>
                <w:lang w:val="en-US" w:eastAsia="zh-CN"/>
              </w:rPr>
            </w:pPr>
            <w:r>
              <w:rPr>
                <w:rFonts w:hint="eastAsia" w:asciiTheme="minorEastAsia" w:hAnsiTheme="minorEastAsia" w:cstheme="minorEastAsia"/>
                <w:sz w:val="21"/>
                <w:szCs w:val="21"/>
                <w:vertAlign w:val="baseline"/>
                <w:lang w:val="en-US" w:eastAsia="zh-CN"/>
              </w:rPr>
              <w:t>对于联合体协议或者分包意向协议约定小微企业的合同份额占到合同总金额30%以上的，对联合体或者大中型企业的报价给予</w:t>
            </w:r>
            <w:r>
              <w:rPr>
                <w:rFonts w:hint="eastAsia" w:asciiTheme="minorEastAsia" w:hAnsiTheme="minorEastAsia" w:cstheme="minorEastAsia"/>
                <w:sz w:val="21"/>
                <w:szCs w:val="21"/>
                <w:u w:val="single"/>
                <w:vertAlign w:val="baseline"/>
                <w:lang w:val="en-US" w:eastAsia="zh-CN"/>
              </w:rPr>
              <w:t xml:space="preserve">   </w:t>
            </w:r>
            <w:r>
              <w:rPr>
                <w:rFonts w:hint="eastAsia" w:asciiTheme="minorEastAsia" w:hAnsiTheme="minorEastAsia" w:cstheme="minorEastAsia"/>
                <w:sz w:val="21"/>
                <w:szCs w:val="21"/>
                <w:u w:val="none"/>
                <w:vertAlign w:val="baseline"/>
                <w:lang w:val="en-US" w:eastAsia="zh-CN"/>
              </w:rPr>
              <w:t>%（2%-3%）的扣除，用扣除后的报价参加评审。</w:t>
            </w:r>
          </w:p>
        </w:tc>
      </w:tr>
      <w:tr w14:paraId="0A8B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top"/>
          </w:tcPr>
          <w:p w14:paraId="19060A91">
            <w:pPr>
              <w:jc w:val="center"/>
              <w:rPr>
                <w:sz w:val="21"/>
                <w:szCs w:val="21"/>
                <w:vertAlign w:val="baseline"/>
              </w:rPr>
            </w:pPr>
          </w:p>
        </w:tc>
        <w:tc>
          <w:tcPr>
            <w:tcW w:w="1277" w:type="dxa"/>
            <w:vMerge w:val="continue"/>
            <w:vAlign w:val="top"/>
          </w:tcPr>
          <w:p w14:paraId="23F43530">
            <w:pPr>
              <w:jc w:val="center"/>
              <w:rPr>
                <w:sz w:val="21"/>
                <w:szCs w:val="21"/>
                <w:vertAlign w:val="baseline"/>
              </w:rPr>
            </w:pPr>
          </w:p>
        </w:tc>
        <w:tc>
          <w:tcPr>
            <w:tcW w:w="7138" w:type="dxa"/>
            <w:vAlign w:val="top"/>
          </w:tcPr>
          <w:p w14:paraId="096911D1">
            <w:pPr>
              <w:jc w:val="both"/>
              <w:rPr>
                <w:rFonts w:hint="eastAsia" w:eastAsia="宋体"/>
                <w:sz w:val="21"/>
                <w:szCs w:val="21"/>
                <w:vertAlign w:val="baseline"/>
                <w:lang w:val="en-US" w:eastAsia="zh-CN"/>
              </w:rPr>
            </w:pPr>
            <w:r>
              <w:rPr>
                <w:rFonts w:hint="default" w:ascii="Arial" w:hAnsi="Arial" w:eastAsia="宋体" w:cs="Arial"/>
                <w:sz w:val="21"/>
                <w:szCs w:val="21"/>
                <w:vertAlign w:val="baseline"/>
              </w:rPr>
              <w:t>√</w:t>
            </w:r>
            <w:r>
              <w:rPr>
                <w:rFonts w:hint="eastAsia" w:eastAsia="宋体"/>
                <w:sz w:val="21"/>
                <w:szCs w:val="21"/>
                <w:vertAlign w:val="baseline"/>
                <w:lang w:val="en-US" w:eastAsia="zh-CN"/>
              </w:rPr>
              <w:t>不接受</w:t>
            </w:r>
          </w:p>
        </w:tc>
      </w:tr>
      <w:tr w14:paraId="3540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top"/>
          </w:tcPr>
          <w:p w14:paraId="7105ADA0">
            <w:pPr>
              <w:jc w:val="center"/>
              <w:rPr>
                <w:rFonts w:hint="eastAsia"/>
                <w:sz w:val="21"/>
                <w:szCs w:val="21"/>
                <w:vertAlign w:val="baseline"/>
                <w:lang w:val="en-US" w:eastAsia="zh-CN"/>
              </w:rPr>
            </w:pPr>
          </w:p>
          <w:p w14:paraId="54112769">
            <w:pPr>
              <w:jc w:val="center"/>
              <w:rPr>
                <w:rFonts w:hint="eastAsia"/>
                <w:sz w:val="21"/>
                <w:szCs w:val="21"/>
                <w:vertAlign w:val="baseline"/>
                <w:lang w:val="en-US" w:eastAsia="zh-CN"/>
              </w:rPr>
            </w:pPr>
          </w:p>
          <w:p w14:paraId="736290CD">
            <w:pPr>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1277" w:type="dxa"/>
            <w:vMerge w:val="restart"/>
            <w:vAlign w:val="top"/>
          </w:tcPr>
          <w:p w14:paraId="1848F977">
            <w:pPr>
              <w:jc w:val="center"/>
              <w:rPr>
                <w:rFonts w:hint="eastAsia"/>
                <w:sz w:val="21"/>
                <w:szCs w:val="21"/>
                <w:vertAlign w:val="baseline"/>
                <w:lang w:val="en-US" w:eastAsia="zh-CN"/>
              </w:rPr>
            </w:pPr>
          </w:p>
          <w:p w14:paraId="351795FD">
            <w:pPr>
              <w:jc w:val="center"/>
              <w:rPr>
                <w:rFonts w:hint="eastAsia"/>
                <w:sz w:val="21"/>
                <w:szCs w:val="21"/>
                <w:vertAlign w:val="baseline"/>
                <w:lang w:val="en-US" w:eastAsia="zh-CN"/>
              </w:rPr>
            </w:pPr>
          </w:p>
          <w:p w14:paraId="2B7A5A27">
            <w:pPr>
              <w:jc w:val="center"/>
              <w:rPr>
                <w:rFonts w:hint="default" w:eastAsiaTheme="minorEastAsia"/>
                <w:sz w:val="21"/>
                <w:szCs w:val="21"/>
                <w:vertAlign w:val="baseline"/>
                <w:lang w:val="en-US" w:eastAsia="zh-CN"/>
              </w:rPr>
            </w:pPr>
            <w:r>
              <w:rPr>
                <w:rFonts w:hint="eastAsia"/>
                <w:sz w:val="21"/>
                <w:szCs w:val="21"/>
                <w:vertAlign w:val="baseline"/>
                <w:lang w:val="en-US" w:eastAsia="zh-CN"/>
              </w:rPr>
              <w:t>履约保证金</w:t>
            </w:r>
          </w:p>
        </w:tc>
        <w:tc>
          <w:tcPr>
            <w:tcW w:w="7138" w:type="dxa"/>
            <w:vAlign w:val="top"/>
          </w:tcPr>
          <w:p w14:paraId="7AE84E9B">
            <w:pPr>
              <w:jc w:val="both"/>
              <w:rPr>
                <w:rFonts w:hint="eastAsia"/>
                <w:sz w:val="21"/>
                <w:szCs w:val="21"/>
                <w:u w:val="none"/>
                <w:vertAlign w:val="baseline"/>
                <w:lang w:val="en-US" w:eastAsia="zh-CN"/>
              </w:rPr>
            </w:pPr>
            <w:r>
              <w:rPr>
                <w:rFonts w:hint="eastAsia"/>
                <w:sz w:val="21"/>
                <w:szCs w:val="21"/>
                <w:vertAlign w:val="baseline"/>
                <w:lang w:val="en-US" w:eastAsia="zh-CN"/>
              </w:rPr>
              <w:t>占政府采购合同金额的</w:t>
            </w:r>
            <w:r>
              <w:rPr>
                <w:rFonts w:hint="eastAsia"/>
                <w:sz w:val="21"/>
                <w:szCs w:val="21"/>
                <w:u w:val="single"/>
                <w:vertAlign w:val="baseline"/>
                <w:lang w:val="en-US" w:eastAsia="zh-CN"/>
              </w:rPr>
              <w:t xml:space="preserve">  0  </w:t>
            </w:r>
            <w:r>
              <w:rPr>
                <w:rFonts w:hint="eastAsia"/>
                <w:sz w:val="21"/>
                <w:szCs w:val="21"/>
                <w:u w:val="none"/>
                <w:vertAlign w:val="baseline"/>
                <w:lang w:val="en-US" w:eastAsia="zh-CN"/>
              </w:rPr>
              <w:t>%</w:t>
            </w:r>
          </w:p>
          <w:p w14:paraId="78DEACEF">
            <w:pPr>
              <w:jc w:val="both"/>
              <w:rPr>
                <w:rFonts w:hint="default"/>
                <w:sz w:val="21"/>
                <w:szCs w:val="21"/>
                <w:u w:val="none"/>
                <w:vertAlign w:val="baseline"/>
                <w:lang w:val="en-US" w:eastAsia="zh-CN"/>
              </w:rPr>
            </w:pPr>
            <w:r>
              <w:rPr>
                <w:rFonts w:hint="eastAsia"/>
                <w:sz w:val="21"/>
                <w:szCs w:val="21"/>
                <w:u w:val="none"/>
                <w:vertAlign w:val="baseline"/>
                <w:lang w:val="en-US" w:eastAsia="zh-CN"/>
              </w:rPr>
              <w:t>履约保证金的数额不得超过政府采购合同金额的10%：对于单价合同，其数额不得超过采购预算的10%</w:t>
            </w:r>
          </w:p>
        </w:tc>
      </w:tr>
      <w:tr w14:paraId="304A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9" w:type="dxa"/>
            <w:vMerge w:val="continue"/>
            <w:vAlign w:val="top"/>
          </w:tcPr>
          <w:p w14:paraId="37618E78">
            <w:pPr>
              <w:jc w:val="center"/>
              <w:rPr>
                <w:sz w:val="21"/>
                <w:szCs w:val="21"/>
                <w:vertAlign w:val="baseline"/>
              </w:rPr>
            </w:pPr>
          </w:p>
        </w:tc>
        <w:tc>
          <w:tcPr>
            <w:tcW w:w="1277" w:type="dxa"/>
            <w:vMerge w:val="continue"/>
            <w:vAlign w:val="top"/>
          </w:tcPr>
          <w:p w14:paraId="40CBA35D">
            <w:pPr>
              <w:jc w:val="center"/>
              <w:rPr>
                <w:rFonts w:hint="default"/>
                <w:sz w:val="21"/>
                <w:szCs w:val="21"/>
                <w:vertAlign w:val="baseline"/>
                <w:lang w:val="en-US"/>
              </w:rPr>
            </w:pPr>
          </w:p>
        </w:tc>
        <w:tc>
          <w:tcPr>
            <w:tcW w:w="7138" w:type="dxa"/>
            <w:vAlign w:val="top"/>
          </w:tcPr>
          <w:p w14:paraId="24D1080D">
            <w:pPr>
              <w:jc w:val="both"/>
              <w:rPr>
                <w:rFonts w:hint="eastAsia" w:eastAsia="宋体"/>
                <w:sz w:val="21"/>
                <w:szCs w:val="21"/>
                <w:vertAlign w:val="baseline"/>
                <w:lang w:val="en-US" w:eastAsia="zh-CN"/>
              </w:rPr>
            </w:pPr>
            <w:r>
              <w:rPr>
                <w:rFonts w:hint="eastAsia" w:ascii="宋体" w:hAnsi="宋体" w:eastAsia="宋体" w:cs="宋体"/>
                <w:sz w:val="21"/>
                <w:szCs w:val="21"/>
                <w:vertAlign w:val="baseline"/>
              </w:rPr>
              <w:t>○</w:t>
            </w:r>
            <w:r>
              <w:rPr>
                <w:rFonts w:hint="eastAsia" w:eastAsia="宋体"/>
                <w:sz w:val="21"/>
                <w:szCs w:val="21"/>
                <w:vertAlign w:val="baseline"/>
                <w:lang w:val="en-US" w:eastAsia="zh-CN"/>
              </w:rPr>
              <w:t>由采购单位自行收退</w:t>
            </w:r>
          </w:p>
          <w:p w14:paraId="4A108237">
            <w:pPr>
              <w:jc w:val="both"/>
              <w:rPr>
                <w:rFonts w:hint="default" w:eastAsia="宋体"/>
                <w:sz w:val="21"/>
                <w:szCs w:val="21"/>
                <w:vertAlign w:val="baseline"/>
                <w:lang w:val="en-US" w:eastAsia="zh-CN"/>
              </w:rPr>
            </w:pPr>
            <w:r>
              <w:rPr>
                <w:rFonts w:hint="eastAsia" w:ascii="宋体" w:hAnsi="宋体" w:eastAsia="宋体" w:cs="宋体"/>
                <w:sz w:val="21"/>
                <w:szCs w:val="21"/>
                <w:vertAlign w:val="baseline"/>
              </w:rPr>
              <w:t>○</w:t>
            </w:r>
            <w:r>
              <w:rPr>
                <w:rFonts w:hint="eastAsia" w:eastAsia="宋体"/>
                <w:sz w:val="21"/>
                <w:szCs w:val="21"/>
                <w:vertAlign w:val="baseline"/>
                <w:lang w:val="en-US" w:eastAsia="zh-CN"/>
              </w:rPr>
              <w:t>由代理机构负责收退</w:t>
            </w:r>
          </w:p>
        </w:tc>
      </w:tr>
      <w:tr w14:paraId="6831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79" w:type="dxa"/>
            <w:vAlign w:val="top"/>
          </w:tcPr>
          <w:p w14:paraId="4EC8996B">
            <w:pPr>
              <w:jc w:val="center"/>
              <w:rPr>
                <w:rFonts w:hint="eastAsia"/>
                <w:sz w:val="21"/>
                <w:szCs w:val="21"/>
                <w:vertAlign w:val="baseline"/>
                <w:lang w:val="en-US" w:eastAsia="zh-CN"/>
              </w:rPr>
            </w:pPr>
          </w:p>
          <w:p w14:paraId="6D370FA7">
            <w:pPr>
              <w:jc w:val="center"/>
              <w:rPr>
                <w:rFonts w:hint="eastAsia" w:eastAsiaTheme="minorEastAsia"/>
                <w:sz w:val="21"/>
                <w:szCs w:val="21"/>
                <w:vertAlign w:val="baseline"/>
                <w:lang w:val="en-US" w:eastAsia="zh-CN"/>
              </w:rPr>
            </w:pPr>
            <w:r>
              <w:rPr>
                <w:rFonts w:hint="eastAsia"/>
                <w:sz w:val="21"/>
                <w:szCs w:val="21"/>
                <w:vertAlign w:val="baseline"/>
                <w:lang w:val="en-US" w:eastAsia="zh-CN"/>
              </w:rPr>
              <w:t>7</w:t>
            </w:r>
          </w:p>
        </w:tc>
        <w:tc>
          <w:tcPr>
            <w:tcW w:w="1277" w:type="dxa"/>
            <w:vAlign w:val="top"/>
          </w:tcPr>
          <w:p w14:paraId="20F0F566">
            <w:pPr>
              <w:jc w:val="center"/>
              <w:rPr>
                <w:rFonts w:hint="eastAsia"/>
                <w:sz w:val="21"/>
                <w:szCs w:val="21"/>
                <w:vertAlign w:val="baseline"/>
                <w:lang w:val="en-US" w:eastAsia="zh-CN"/>
              </w:rPr>
            </w:pPr>
          </w:p>
          <w:p w14:paraId="7735572F">
            <w:pPr>
              <w:jc w:val="center"/>
              <w:rPr>
                <w:rFonts w:hint="eastAsia" w:eastAsiaTheme="minorEastAsia"/>
                <w:sz w:val="21"/>
                <w:szCs w:val="21"/>
                <w:vertAlign w:val="baseline"/>
                <w:lang w:val="en-US" w:eastAsia="zh-CN"/>
              </w:rPr>
            </w:pPr>
            <w:r>
              <w:rPr>
                <w:rFonts w:hint="eastAsia"/>
                <w:sz w:val="21"/>
                <w:szCs w:val="21"/>
                <w:vertAlign w:val="baseline"/>
                <w:lang w:val="en-US" w:eastAsia="zh-CN"/>
              </w:rPr>
              <w:t>集中答疑</w:t>
            </w:r>
          </w:p>
        </w:tc>
        <w:tc>
          <w:tcPr>
            <w:tcW w:w="7138" w:type="dxa"/>
            <w:vAlign w:val="top"/>
          </w:tcPr>
          <w:p w14:paraId="73B255B4">
            <w:pPr>
              <w:jc w:val="both"/>
              <w:rPr>
                <w:rFonts w:hint="eastAsia" w:eastAsia="宋体"/>
                <w:sz w:val="21"/>
                <w:szCs w:val="21"/>
                <w:u w:val="single"/>
                <w:vertAlign w:val="baseline"/>
                <w:lang w:val="en-US" w:eastAsia="zh-CN"/>
              </w:rPr>
            </w:pPr>
            <w:r>
              <w:rPr>
                <w:rFonts w:hint="eastAsia" w:ascii="宋体" w:hAnsi="宋体" w:eastAsia="宋体" w:cs="宋体"/>
                <w:sz w:val="21"/>
                <w:szCs w:val="21"/>
                <w:vertAlign w:val="baseline"/>
              </w:rPr>
              <w:t>○</w:t>
            </w:r>
            <w:r>
              <w:rPr>
                <w:rFonts w:hint="eastAsia" w:eastAsia="宋体"/>
                <w:sz w:val="21"/>
                <w:szCs w:val="21"/>
                <w:vertAlign w:val="baseline"/>
                <w:lang w:val="en-US" w:eastAsia="zh-CN"/>
              </w:rPr>
              <w:t>组织，答疑地点为：</w:t>
            </w:r>
            <w:r>
              <w:rPr>
                <w:rFonts w:hint="eastAsia" w:eastAsia="宋体"/>
                <w:sz w:val="21"/>
                <w:szCs w:val="21"/>
                <w:u w:val="single"/>
                <w:vertAlign w:val="baseline"/>
                <w:lang w:val="en-US" w:eastAsia="zh-CN"/>
              </w:rPr>
              <w:t xml:space="preserve">                     </w:t>
            </w:r>
          </w:p>
          <w:p w14:paraId="6522E24C">
            <w:pPr>
              <w:jc w:val="both"/>
              <w:rPr>
                <w:rFonts w:hint="default" w:eastAsia="宋体"/>
                <w:sz w:val="21"/>
                <w:szCs w:val="21"/>
                <w:u w:val="none"/>
                <w:vertAlign w:val="baseline"/>
                <w:lang w:val="en-US" w:eastAsia="zh-CN"/>
              </w:rPr>
            </w:pPr>
            <w:r>
              <w:rPr>
                <w:rFonts w:hint="default" w:ascii="Arial" w:hAnsi="Arial" w:eastAsia="宋体" w:cs="Arial"/>
                <w:sz w:val="21"/>
                <w:szCs w:val="21"/>
                <w:vertAlign w:val="baseline"/>
              </w:rPr>
              <w:t>√</w:t>
            </w:r>
            <w:r>
              <w:rPr>
                <w:rFonts w:hint="eastAsia" w:eastAsia="宋体"/>
                <w:sz w:val="21"/>
                <w:szCs w:val="21"/>
                <w:u w:val="none"/>
                <w:vertAlign w:val="baseline"/>
                <w:lang w:val="en-US" w:eastAsia="zh-CN"/>
              </w:rPr>
              <w:t>不组织</w:t>
            </w:r>
          </w:p>
        </w:tc>
      </w:tr>
      <w:tr w14:paraId="52E6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779" w:type="dxa"/>
            <w:vAlign w:val="top"/>
          </w:tcPr>
          <w:p w14:paraId="3DC235BE">
            <w:pPr>
              <w:jc w:val="center"/>
              <w:rPr>
                <w:rFonts w:hint="eastAsia"/>
                <w:sz w:val="21"/>
                <w:szCs w:val="21"/>
                <w:vertAlign w:val="baseline"/>
                <w:lang w:val="en-US" w:eastAsia="zh-CN"/>
              </w:rPr>
            </w:pPr>
          </w:p>
          <w:p w14:paraId="5F7A9FF7">
            <w:pPr>
              <w:jc w:val="center"/>
              <w:rPr>
                <w:rFonts w:hint="eastAsia"/>
                <w:sz w:val="21"/>
                <w:szCs w:val="21"/>
                <w:vertAlign w:val="baseline"/>
                <w:lang w:val="en-US" w:eastAsia="zh-CN"/>
              </w:rPr>
            </w:pPr>
          </w:p>
          <w:p w14:paraId="42F651A6">
            <w:pPr>
              <w:jc w:val="center"/>
              <w:rPr>
                <w:rFonts w:hint="eastAsia"/>
                <w:sz w:val="21"/>
                <w:szCs w:val="21"/>
                <w:vertAlign w:val="baseline"/>
                <w:lang w:val="en-US" w:eastAsia="zh-CN"/>
              </w:rPr>
            </w:pPr>
          </w:p>
          <w:p w14:paraId="3B71B93B">
            <w:pPr>
              <w:jc w:val="center"/>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1277" w:type="dxa"/>
            <w:vAlign w:val="top"/>
          </w:tcPr>
          <w:p w14:paraId="778DB270">
            <w:pPr>
              <w:jc w:val="center"/>
              <w:rPr>
                <w:rFonts w:hint="eastAsia"/>
                <w:sz w:val="21"/>
                <w:szCs w:val="21"/>
                <w:vertAlign w:val="baseline"/>
                <w:lang w:val="en-US" w:eastAsia="zh-CN"/>
              </w:rPr>
            </w:pPr>
          </w:p>
          <w:p w14:paraId="4E207D52">
            <w:pPr>
              <w:jc w:val="center"/>
              <w:rPr>
                <w:rFonts w:hint="eastAsia"/>
                <w:sz w:val="21"/>
                <w:szCs w:val="21"/>
                <w:vertAlign w:val="baseline"/>
                <w:lang w:val="en-US" w:eastAsia="zh-CN"/>
              </w:rPr>
            </w:pPr>
          </w:p>
          <w:p w14:paraId="03825671">
            <w:pPr>
              <w:jc w:val="center"/>
              <w:rPr>
                <w:rFonts w:hint="eastAsia"/>
                <w:sz w:val="21"/>
                <w:szCs w:val="21"/>
                <w:vertAlign w:val="baseline"/>
                <w:lang w:val="en-US" w:eastAsia="zh-CN"/>
              </w:rPr>
            </w:pPr>
          </w:p>
          <w:p w14:paraId="651E9C7D">
            <w:pPr>
              <w:jc w:val="center"/>
              <w:rPr>
                <w:rFonts w:hint="default" w:eastAsiaTheme="minorEastAsia"/>
                <w:sz w:val="21"/>
                <w:szCs w:val="21"/>
                <w:vertAlign w:val="baseline"/>
                <w:lang w:val="en-US" w:eastAsia="zh-CN"/>
              </w:rPr>
            </w:pPr>
            <w:r>
              <w:rPr>
                <w:rFonts w:hint="eastAsia"/>
                <w:sz w:val="21"/>
                <w:szCs w:val="21"/>
                <w:vertAlign w:val="baseline"/>
                <w:lang w:val="en-US" w:eastAsia="zh-CN"/>
              </w:rPr>
              <w:t>价格分比重</w:t>
            </w:r>
          </w:p>
        </w:tc>
        <w:tc>
          <w:tcPr>
            <w:tcW w:w="7138" w:type="dxa"/>
            <w:vAlign w:val="top"/>
          </w:tcPr>
          <w:p w14:paraId="23F2C6C2">
            <w:pPr>
              <w:numPr>
                <w:numId w:val="0"/>
              </w:numPr>
              <w:jc w:val="both"/>
              <w:rPr>
                <w:rFonts w:hint="default" w:eastAsiaTheme="minorEastAsia"/>
                <w:sz w:val="21"/>
                <w:szCs w:val="21"/>
                <w:u w:val="single"/>
                <w:vertAlign w:val="baseline"/>
                <w:lang w:val="en-US" w:eastAsia="zh-CN"/>
              </w:rPr>
            </w:pPr>
            <w:r>
              <w:rPr>
                <w:rFonts w:hint="eastAsia"/>
                <w:sz w:val="21"/>
                <w:szCs w:val="21"/>
                <w:u w:val="none"/>
                <w:vertAlign w:val="baseline"/>
                <w:lang w:val="en-US" w:eastAsia="zh-CN"/>
              </w:rPr>
              <w:t>1、</w:t>
            </w:r>
            <w:r>
              <w:rPr>
                <w:rFonts w:hint="eastAsia"/>
                <w:sz w:val="21"/>
                <w:szCs w:val="21"/>
                <w:u w:val="single"/>
                <w:vertAlign w:val="baseline"/>
                <w:lang w:val="en-US" w:eastAsia="zh-CN"/>
              </w:rPr>
              <w:t xml:space="preserve">满足《中华人民共和国政府采购法》第二十二条的规定；         </w:t>
            </w:r>
          </w:p>
          <w:p w14:paraId="68ADC1B0">
            <w:pPr>
              <w:numPr>
                <w:ilvl w:val="0"/>
                <w:numId w:val="0"/>
              </w:numPr>
              <w:jc w:val="both"/>
              <w:rPr>
                <w:rFonts w:hint="default" w:eastAsiaTheme="minorEastAsia"/>
                <w:sz w:val="21"/>
                <w:szCs w:val="21"/>
                <w:u w:val="single"/>
                <w:vertAlign w:val="baseline"/>
                <w:lang w:val="en-US" w:eastAsia="zh-CN"/>
              </w:rPr>
            </w:pPr>
            <w:r>
              <w:rPr>
                <w:rFonts w:hint="eastAsia"/>
                <w:sz w:val="21"/>
                <w:szCs w:val="21"/>
                <w:u w:val="none"/>
                <w:vertAlign w:val="baseline"/>
                <w:lang w:val="en-US" w:eastAsia="zh-CN"/>
              </w:rPr>
              <w:t>2、</w:t>
            </w:r>
            <w:r>
              <w:rPr>
                <w:rFonts w:hint="eastAsia"/>
                <w:sz w:val="21"/>
                <w:szCs w:val="21"/>
                <w:u w:val="single"/>
                <w:vertAlign w:val="baseline"/>
                <w:lang w:val="en-US" w:eastAsia="zh-CN"/>
              </w:rPr>
              <w:t>所投车辆车型必须在国家发改委或工信部发布的《车辆生产企业及产品》公告内；</w:t>
            </w:r>
          </w:p>
          <w:p w14:paraId="6DC7F268">
            <w:pPr>
              <w:numPr>
                <w:ilvl w:val="0"/>
                <w:numId w:val="0"/>
              </w:numPr>
              <w:ind w:left="0" w:leftChars="0" w:firstLine="0" w:firstLineChars="0"/>
              <w:jc w:val="both"/>
              <w:rPr>
                <w:rFonts w:hint="default" w:asciiTheme="minorHAnsi" w:hAnsiTheme="minorHAnsi" w:eastAsiaTheme="minorEastAsia" w:cstheme="minorBidi"/>
                <w:kern w:val="2"/>
                <w:sz w:val="21"/>
                <w:szCs w:val="21"/>
                <w:u w:val="single"/>
                <w:vertAlign w:val="baseline"/>
                <w:lang w:val="en-US" w:eastAsia="zh-CN" w:bidi="ar-SA"/>
              </w:rPr>
            </w:pPr>
            <w:r>
              <w:rPr>
                <w:rFonts w:hint="eastAsia"/>
                <w:sz w:val="21"/>
                <w:szCs w:val="21"/>
                <w:u w:val="none"/>
                <w:vertAlign w:val="baseline"/>
                <w:lang w:val="en-US" w:eastAsia="zh-CN"/>
              </w:rPr>
              <w:t>根据《政府采购促进中小企业发展管理办法》（财库{2020}46号）的规定，不得以企业注册资本、资产总额、营业收入、从业人员、利润、纳税额等规模条件和财务指标作为供应商的资格要求或者评审因素，不得财企业股权结构、经营年限等方面对中小企业实行差别待遇或者歧视待遇。</w:t>
            </w:r>
          </w:p>
        </w:tc>
      </w:tr>
      <w:tr w14:paraId="419E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79" w:type="dxa"/>
            <w:vAlign w:val="top"/>
          </w:tcPr>
          <w:p w14:paraId="480F79B8">
            <w:pPr>
              <w:jc w:val="center"/>
              <w:rPr>
                <w:rFonts w:hint="eastAsia" w:eastAsiaTheme="minorEastAsia"/>
                <w:sz w:val="21"/>
                <w:szCs w:val="21"/>
                <w:vertAlign w:val="baseline"/>
                <w:lang w:val="en-US" w:eastAsia="zh-CN"/>
              </w:rPr>
            </w:pPr>
            <w:r>
              <w:rPr>
                <w:rFonts w:hint="eastAsia"/>
                <w:sz w:val="21"/>
                <w:szCs w:val="21"/>
                <w:vertAlign w:val="baseline"/>
                <w:lang w:val="en-US" w:eastAsia="zh-CN"/>
              </w:rPr>
              <w:t>9</w:t>
            </w:r>
          </w:p>
        </w:tc>
        <w:tc>
          <w:tcPr>
            <w:tcW w:w="1277" w:type="dxa"/>
            <w:vAlign w:val="top"/>
          </w:tcPr>
          <w:p w14:paraId="67F9CA87">
            <w:pPr>
              <w:jc w:val="center"/>
              <w:rPr>
                <w:rFonts w:hint="eastAsia" w:eastAsiaTheme="minorEastAsia"/>
                <w:sz w:val="21"/>
                <w:szCs w:val="21"/>
                <w:vertAlign w:val="baseline"/>
                <w:lang w:val="en-US" w:eastAsia="zh-CN"/>
              </w:rPr>
            </w:pPr>
            <w:r>
              <w:rPr>
                <w:rFonts w:hint="eastAsia"/>
                <w:sz w:val="21"/>
                <w:szCs w:val="21"/>
                <w:vertAlign w:val="baseline"/>
                <w:lang w:val="en-US" w:eastAsia="zh-CN"/>
              </w:rPr>
              <w:t>合同类型</w:t>
            </w:r>
          </w:p>
        </w:tc>
        <w:tc>
          <w:tcPr>
            <w:tcW w:w="7138" w:type="dxa"/>
            <w:vAlign w:val="top"/>
          </w:tcPr>
          <w:p w14:paraId="0B94F52C">
            <w:pPr>
              <w:jc w:val="both"/>
              <w:rPr>
                <w:rFonts w:hint="eastAsia" w:eastAsia="宋体"/>
                <w:sz w:val="21"/>
                <w:szCs w:val="21"/>
                <w:vertAlign w:val="baseline"/>
                <w:lang w:val="en-US" w:eastAsia="zh-CN"/>
              </w:rPr>
            </w:pPr>
            <w:r>
              <w:rPr>
                <w:rFonts w:hint="default" w:ascii="Arial" w:hAnsi="Arial" w:eastAsia="宋体" w:cs="Arial"/>
                <w:sz w:val="21"/>
                <w:szCs w:val="21"/>
                <w:vertAlign w:val="baseline"/>
              </w:rPr>
              <w:t>√</w:t>
            </w:r>
            <w:r>
              <w:rPr>
                <w:rFonts w:hint="eastAsia" w:eastAsia="宋体"/>
                <w:sz w:val="21"/>
                <w:szCs w:val="21"/>
                <w:vertAlign w:val="baseline"/>
                <w:lang w:val="en-US" w:eastAsia="zh-CN"/>
              </w:rPr>
              <w:t>固定总价</w:t>
            </w:r>
          </w:p>
          <w:p w14:paraId="7EF6F540">
            <w:pPr>
              <w:jc w:val="both"/>
              <w:rPr>
                <w:rFonts w:hint="eastAsia" w:eastAsia="宋体"/>
                <w:sz w:val="21"/>
                <w:szCs w:val="21"/>
                <w:vertAlign w:val="baseline"/>
                <w:lang w:val="en-US" w:eastAsia="zh-CN"/>
              </w:rPr>
            </w:pPr>
            <w:r>
              <w:rPr>
                <w:rFonts w:hint="eastAsia" w:ascii="宋体" w:hAnsi="宋体" w:eastAsia="宋体" w:cs="宋体"/>
                <w:sz w:val="21"/>
                <w:szCs w:val="21"/>
                <w:vertAlign w:val="baseline"/>
              </w:rPr>
              <w:t>○</w:t>
            </w:r>
            <w:r>
              <w:rPr>
                <w:rFonts w:hint="eastAsia" w:eastAsia="宋体"/>
                <w:sz w:val="21"/>
                <w:szCs w:val="21"/>
                <w:vertAlign w:val="baseline"/>
                <w:lang w:val="en-US" w:eastAsia="zh-CN"/>
              </w:rPr>
              <w:t>固定单价（适用于采购数量不定的情形）</w:t>
            </w:r>
          </w:p>
          <w:p w14:paraId="25563E99">
            <w:pPr>
              <w:jc w:val="both"/>
              <w:rPr>
                <w:rFonts w:hint="default" w:eastAsia="宋体"/>
                <w:sz w:val="21"/>
                <w:szCs w:val="21"/>
                <w:u w:val="none"/>
                <w:vertAlign w:val="baseline"/>
                <w:lang w:val="en-US" w:eastAsia="zh-CN"/>
              </w:rPr>
            </w:pPr>
            <w:r>
              <w:rPr>
                <w:rFonts w:hint="eastAsia" w:ascii="宋体" w:hAnsi="宋体" w:eastAsia="宋体" w:cs="宋体"/>
                <w:sz w:val="21"/>
                <w:szCs w:val="21"/>
                <w:vertAlign w:val="baseline"/>
                <w:lang w:val="en-US" w:eastAsia="zh-CN"/>
              </w:rPr>
              <w:t>○</w:t>
            </w:r>
            <w:r>
              <w:rPr>
                <w:rFonts w:hint="eastAsia" w:eastAsia="宋体"/>
                <w:sz w:val="21"/>
                <w:szCs w:val="21"/>
                <w:vertAlign w:val="baseline"/>
                <w:lang w:val="en-US" w:eastAsia="zh-CN"/>
              </w:rPr>
              <w:t>其他：</w:t>
            </w:r>
            <w:r>
              <w:rPr>
                <w:rFonts w:hint="eastAsia" w:eastAsia="宋体"/>
                <w:sz w:val="21"/>
                <w:szCs w:val="21"/>
                <w:u w:val="single"/>
                <w:vertAlign w:val="baseline"/>
                <w:lang w:val="en-US" w:eastAsia="zh-CN"/>
              </w:rPr>
              <w:t xml:space="preserve">                    </w:t>
            </w:r>
          </w:p>
        </w:tc>
      </w:tr>
      <w:tr w14:paraId="591B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79" w:type="dxa"/>
          </w:tcPr>
          <w:p w14:paraId="0EC10B20">
            <w:pPr>
              <w:jc w:val="center"/>
              <w:rPr>
                <w:rFonts w:hint="eastAsia"/>
                <w:sz w:val="21"/>
                <w:szCs w:val="21"/>
                <w:vertAlign w:val="baseline"/>
                <w:lang w:val="en-US" w:eastAsia="zh-CN"/>
              </w:rPr>
            </w:pPr>
          </w:p>
          <w:p w14:paraId="09C17B6D">
            <w:pPr>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1277" w:type="dxa"/>
          </w:tcPr>
          <w:p w14:paraId="2895CC17">
            <w:pPr>
              <w:jc w:val="center"/>
              <w:rPr>
                <w:rFonts w:hint="eastAsia"/>
                <w:sz w:val="21"/>
                <w:szCs w:val="21"/>
                <w:vertAlign w:val="baseline"/>
                <w:lang w:val="en-US" w:eastAsia="zh-CN"/>
              </w:rPr>
            </w:pPr>
          </w:p>
          <w:p w14:paraId="2D24539A">
            <w:pPr>
              <w:jc w:val="center"/>
              <w:rPr>
                <w:rFonts w:hint="eastAsia"/>
                <w:sz w:val="21"/>
                <w:szCs w:val="21"/>
                <w:vertAlign w:val="baseline"/>
                <w:lang w:val="en-US" w:eastAsia="zh-CN"/>
              </w:rPr>
            </w:pPr>
            <w:r>
              <w:rPr>
                <w:rFonts w:hint="eastAsia"/>
                <w:sz w:val="21"/>
                <w:szCs w:val="21"/>
                <w:vertAlign w:val="baseline"/>
                <w:lang w:val="en-US" w:eastAsia="zh-CN"/>
              </w:rPr>
              <w:t>争议解决</w:t>
            </w:r>
          </w:p>
          <w:p w14:paraId="3744A5FE">
            <w:pPr>
              <w:jc w:val="center"/>
              <w:rPr>
                <w:rFonts w:hint="default" w:eastAsiaTheme="minorEastAsia"/>
                <w:sz w:val="21"/>
                <w:szCs w:val="21"/>
                <w:vertAlign w:val="baseline"/>
                <w:lang w:val="en-US" w:eastAsia="zh-CN"/>
              </w:rPr>
            </w:pPr>
            <w:r>
              <w:rPr>
                <w:rFonts w:hint="eastAsia"/>
                <w:sz w:val="21"/>
                <w:szCs w:val="21"/>
                <w:vertAlign w:val="baseline"/>
                <w:lang w:val="en-US" w:eastAsia="zh-CN"/>
              </w:rPr>
              <w:t>途径</w:t>
            </w:r>
          </w:p>
        </w:tc>
        <w:tc>
          <w:tcPr>
            <w:tcW w:w="7138" w:type="dxa"/>
          </w:tcPr>
          <w:p w14:paraId="08991D2E">
            <w:pPr>
              <w:jc w:val="both"/>
              <w:rPr>
                <w:rFonts w:hint="eastAsia" w:eastAsia="宋体"/>
                <w:sz w:val="21"/>
                <w:szCs w:val="21"/>
                <w:vertAlign w:val="baseline"/>
                <w:lang w:val="en-US" w:eastAsia="zh-CN"/>
              </w:rPr>
            </w:pPr>
            <w:r>
              <w:rPr>
                <w:rFonts w:hint="default" w:ascii="Arial" w:hAnsi="Arial" w:eastAsia="宋体" w:cs="Arial"/>
                <w:sz w:val="21"/>
                <w:szCs w:val="21"/>
                <w:vertAlign w:val="baseline"/>
              </w:rPr>
              <w:t>√</w:t>
            </w:r>
            <w:r>
              <w:rPr>
                <w:rFonts w:hint="eastAsia" w:eastAsia="宋体"/>
                <w:sz w:val="21"/>
                <w:szCs w:val="21"/>
                <w:vertAlign w:val="baseline"/>
                <w:lang w:val="en-US" w:eastAsia="zh-CN"/>
              </w:rPr>
              <w:t>向有管辖权的人民法院提起诉讼</w:t>
            </w:r>
          </w:p>
          <w:p w14:paraId="2CFBA40D">
            <w:pPr>
              <w:jc w:val="both"/>
              <w:rPr>
                <w:rFonts w:hint="eastAsia" w:eastAsia="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eastAsia="宋体"/>
                <w:sz w:val="21"/>
                <w:szCs w:val="21"/>
                <w:vertAlign w:val="baseline"/>
                <w:lang w:val="en-US" w:eastAsia="zh-CN"/>
              </w:rPr>
              <w:t>向西安仲裁委员会提请仲裁</w:t>
            </w:r>
          </w:p>
          <w:p w14:paraId="596C8ADC">
            <w:pPr>
              <w:jc w:val="both"/>
              <w:rPr>
                <w:rFonts w:hint="default" w:eastAsia="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eastAsia="宋体"/>
                <w:sz w:val="21"/>
                <w:szCs w:val="21"/>
                <w:vertAlign w:val="baseline"/>
                <w:lang w:val="en-US" w:eastAsia="zh-CN"/>
              </w:rPr>
              <w:t>由供应商作出选择</w:t>
            </w:r>
          </w:p>
        </w:tc>
      </w:tr>
      <w:tr w14:paraId="17E7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749FB65">
            <w:pPr>
              <w:jc w:val="center"/>
              <w:rPr>
                <w:rFonts w:hint="eastAsia"/>
                <w:sz w:val="21"/>
                <w:szCs w:val="21"/>
                <w:vertAlign w:val="baseline"/>
                <w:lang w:val="en-US" w:eastAsia="zh-CN"/>
              </w:rPr>
            </w:pPr>
          </w:p>
          <w:p w14:paraId="1A6033C5">
            <w:pPr>
              <w:jc w:val="center"/>
              <w:rPr>
                <w:rFonts w:hint="default" w:eastAsiaTheme="minorEastAsia"/>
                <w:sz w:val="21"/>
                <w:szCs w:val="21"/>
                <w:vertAlign w:val="baseline"/>
                <w:lang w:val="en-US" w:eastAsia="zh-CN"/>
              </w:rPr>
            </w:pPr>
            <w:r>
              <w:rPr>
                <w:rFonts w:hint="eastAsia"/>
                <w:sz w:val="21"/>
                <w:szCs w:val="21"/>
                <w:vertAlign w:val="baseline"/>
                <w:lang w:val="en-US" w:eastAsia="zh-CN"/>
              </w:rPr>
              <w:t>11</w:t>
            </w:r>
          </w:p>
        </w:tc>
        <w:tc>
          <w:tcPr>
            <w:tcW w:w="1277" w:type="dxa"/>
          </w:tcPr>
          <w:p w14:paraId="4817E913">
            <w:pPr>
              <w:jc w:val="center"/>
              <w:rPr>
                <w:rFonts w:hint="eastAsia"/>
                <w:sz w:val="21"/>
                <w:szCs w:val="21"/>
                <w:vertAlign w:val="baseline"/>
                <w:lang w:val="en-US" w:eastAsia="zh-CN"/>
              </w:rPr>
            </w:pPr>
          </w:p>
          <w:p w14:paraId="6393FC2D">
            <w:pPr>
              <w:jc w:val="center"/>
              <w:rPr>
                <w:rFonts w:hint="eastAsia" w:eastAsiaTheme="minorEastAsia"/>
                <w:sz w:val="21"/>
                <w:szCs w:val="21"/>
                <w:vertAlign w:val="baseline"/>
                <w:lang w:val="en-US" w:eastAsia="zh-CN"/>
              </w:rPr>
            </w:pPr>
            <w:r>
              <w:rPr>
                <w:rFonts w:hint="eastAsia"/>
                <w:sz w:val="21"/>
                <w:szCs w:val="21"/>
                <w:vertAlign w:val="baseline"/>
                <w:lang w:val="en-US" w:eastAsia="zh-CN"/>
              </w:rPr>
              <w:t>联系方式</w:t>
            </w:r>
          </w:p>
        </w:tc>
        <w:tc>
          <w:tcPr>
            <w:tcW w:w="7138" w:type="dxa"/>
          </w:tcPr>
          <w:p w14:paraId="1D941835">
            <w:pPr>
              <w:jc w:val="both"/>
              <w:rPr>
                <w:rFonts w:hint="default"/>
                <w:sz w:val="21"/>
                <w:szCs w:val="21"/>
                <w:u w:val="single"/>
                <w:vertAlign w:val="baseline"/>
                <w:lang w:val="en-US" w:eastAsia="zh-CN"/>
              </w:rPr>
            </w:pPr>
            <w:r>
              <w:rPr>
                <w:rFonts w:hint="eastAsia"/>
                <w:sz w:val="21"/>
                <w:szCs w:val="21"/>
                <w:vertAlign w:val="baseline"/>
                <w:lang w:val="en-US" w:eastAsia="zh-CN"/>
              </w:rPr>
              <w:t>项目对接人：</w:t>
            </w:r>
            <w:r>
              <w:rPr>
                <w:rFonts w:hint="eastAsia"/>
                <w:sz w:val="21"/>
                <w:szCs w:val="21"/>
                <w:u w:val="single"/>
                <w:vertAlign w:val="baseline"/>
                <w:lang w:val="en-US" w:eastAsia="zh-CN"/>
              </w:rPr>
              <w:t xml:space="preserve"> 安立社           </w:t>
            </w:r>
          </w:p>
          <w:p w14:paraId="5BE6EBE9">
            <w:pPr>
              <w:jc w:val="both"/>
              <w:rPr>
                <w:rFonts w:hint="default"/>
                <w:i w:val="0"/>
                <w:iCs w:val="0"/>
                <w:sz w:val="21"/>
                <w:szCs w:val="21"/>
                <w:u w:val="single"/>
                <w:vertAlign w:val="baseline"/>
                <w:lang w:val="en-US" w:eastAsia="zh-CN"/>
              </w:rPr>
            </w:pPr>
            <w:r>
              <w:rPr>
                <w:rFonts w:hint="eastAsia"/>
                <w:sz w:val="21"/>
                <w:szCs w:val="21"/>
                <w:vertAlign w:val="baseline"/>
                <w:lang w:val="en-US" w:eastAsia="zh-CN"/>
              </w:rPr>
              <w:t>联系电话：</w:t>
            </w:r>
            <w:r>
              <w:rPr>
                <w:rFonts w:hint="eastAsia"/>
                <w:i w:val="0"/>
                <w:iCs w:val="0"/>
                <w:sz w:val="21"/>
                <w:szCs w:val="21"/>
                <w:u w:val="single"/>
                <w:vertAlign w:val="baseline"/>
                <w:lang w:val="en-US" w:eastAsia="zh-CN"/>
              </w:rPr>
              <w:t xml:space="preserve">  13572867891       </w:t>
            </w:r>
          </w:p>
          <w:p w14:paraId="1B0F1925">
            <w:pPr>
              <w:jc w:val="both"/>
              <w:rPr>
                <w:rFonts w:hint="default"/>
                <w:sz w:val="21"/>
                <w:szCs w:val="21"/>
                <w:u w:val="single"/>
                <w:vertAlign w:val="baseline"/>
                <w:lang w:val="en-US" w:eastAsia="zh-CN"/>
              </w:rPr>
            </w:pPr>
            <w:r>
              <w:rPr>
                <w:rFonts w:hint="eastAsia"/>
                <w:sz w:val="21"/>
                <w:szCs w:val="21"/>
                <w:vertAlign w:val="baseline"/>
                <w:lang w:val="en-US" w:eastAsia="zh-CN"/>
              </w:rPr>
              <w:t>电子邮箱：</w:t>
            </w:r>
            <w:r>
              <w:rPr>
                <w:rFonts w:hint="eastAsia"/>
                <w:sz w:val="21"/>
                <w:szCs w:val="21"/>
                <w:u w:val="single"/>
                <w:vertAlign w:val="baseline"/>
                <w:lang w:val="en-US" w:eastAsia="zh-CN"/>
              </w:rPr>
              <w:t xml:space="preserve">      /        </w:t>
            </w:r>
          </w:p>
        </w:tc>
      </w:tr>
    </w:tbl>
    <w:p w14:paraId="04776D6B">
      <w:pPr>
        <w:jc w:val="center"/>
        <w:rPr>
          <w:sz w:val="21"/>
          <w:szCs w:val="21"/>
        </w:rPr>
      </w:pPr>
    </w:p>
    <w:p w14:paraId="10F588D2">
      <w:pPr>
        <w:jc w:val="center"/>
        <w:rPr>
          <w:rFonts w:hint="eastAsia"/>
          <w:b/>
          <w:bCs/>
          <w:sz w:val="24"/>
          <w:szCs w:val="24"/>
          <w:lang w:val="en-US" w:eastAsia="zh-CN"/>
        </w:rPr>
      </w:pPr>
      <w:r>
        <w:rPr>
          <w:rFonts w:hint="eastAsia"/>
          <w:b/>
          <w:bCs/>
          <w:sz w:val="24"/>
          <w:szCs w:val="24"/>
          <w:lang w:val="en-US" w:eastAsia="zh-CN"/>
        </w:rPr>
        <w:t>需求框架（货物类）</w:t>
      </w:r>
    </w:p>
    <w:p w14:paraId="6DC8A77A">
      <w:pPr>
        <w:numPr>
          <w:ilvl w:val="0"/>
          <w:numId w:val="2"/>
        </w:numPr>
        <w:jc w:val="both"/>
        <w:rPr>
          <w:rFonts w:hint="eastAsia"/>
          <w:b/>
          <w:bCs/>
          <w:sz w:val="24"/>
          <w:szCs w:val="24"/>
          <w:lang w:val="en-US" w:eastAsia="zh-CN"/>
        </w:rPr>
      </w:pPr>
      <w:r>
        <w:rPr>
          <w:rFonts w:hint="eastAsia"/>
          <w:b/>
          <w:bCs/>
          <w:sz w:val="24"/>
          <w:szCs w:val="24"/>
          <w:lang w:val="en-US" w:eastAsia="zh-CN"/>
        </w:rPr>
        <w:t>项目概况</w:t>
      </w:r>
    </w:p>
    <w:p w14:paraId="57D7849A">
      <w:pPr>
        <w:numPr>
          <w:ilvl w:val="0"/>
          <w:numId w:val="0"/>
        </w:numPr>
        <w:jc w:val="both"/>
        <w:rPr>
          <w:rFonts w:hint="eastAsia"/>
          <w:b w:val="0"/>
          <w:bCs w:val="0"/>
          <w:sz w:val="24"/>
          <w:szCs w:val="24"/>
          <w:u w:val="none"/>
          <w:lang w:val="en-US" w:eastAsia="zh-CN"/>
        </w:rPr>
      </w:pPr>
      <w:r>
        <w:rPr>
          <w:rFonts w:hint="eastAsia"/>
          <w:b w:val="0"/>
          <w:bCs w:val="0"/>
          <w:sz w:val="24"/>
          <w:szCs w:val="24"/>
          <w:u w:val="single"/>
          <w:lang w:val="en-US" w:eastAsia="zh-CN"/>
        </w:rPr>
        <w:t xml:space="preserve">                                                                               </w:t>
      </w:r>
    </w:p>
    <w:p w14:paraId="7AA948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项目名称：蓝田县公安局公务车辆采购</w:t>
      </w:r>
    </w:p>
    <w:p w14:paraId="0867BA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项目地点：蓝田县公安局</w:t>
      </w:r>
    </w:p>
    <w:p w14:paraId="0A9965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使用单位：蓝田县公安局</w:t>
      </w:r>
    </w:p>
    <w:p w14:paraId="31BE2E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u w:val="none"/>
          <w:lang w:val="en-US" w:eastAsia="zh-CN"/>
        </w:rPr>
      </w:pPr>
      <w:r>
        <w:rPr>
          <w:rFonts w:hint="eastAsia"/>
          <w:b w:val="0"/>
          <w:bCs w:val="0"/>
          <w:sz w:val="24"/>
          <w:szCs w:val="24"/>
          <w:u w:val="none"/>
          <w:lang w:val="en-US" w:eastAsia="zh-CN"/>
        </w:rPr>
        <w:t>项目内容：</w:t>
      </w:r>
      <w:r>
        <w:rPr>
          <w:rFonts w:hint="eastAsia"/>
          <w:b w:val="0"/>
          <w:bCs w:val="0"/>
          <w:color w:val="auto"/>
          <w:sz w:val="24"/>
          <w:szCs w:val="24"/>
          <w:highlight w:val="none"/>
          <w:u w:val="none"/>
          <w:lang w:val="en-US" w:eastAsia="zh-CN"/>
        </w:rPr>
        <w:t>公务用车14辆</w:t>
      </w:r>
    </w:p>
    <w:p w14:paraId="648101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最高限价：178万元</w:t>
      </w:r>
    </w:p>
    <w:p w14:paraId="63FEE6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u w:val="none"/>
          <w:lang w:val="en-US" w:eastAsia="zh-CN"/>
        </w:rPr>
      </w:pPr>
      <w:r>
        <w:rPr>
          <w:rFonts w:hint="eastAsia"/>
          <w:b w:val="0"/>
          <w:bCs w:val="0"/>
          <w:sz w:val="24"/>
          <w:szCs w:val="24"/>
          <w:u w:val="none"/>
          <w:lang w:val="en-US" w:eastAsia="zh-CN"/>
        </w:rPr>
        <w:t>采购方式：竞争性谈判</w:t>
      </w:r>
    </w:p>
    <w:p w14:paraId="68F991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服务期限及付款方式：交货期限为</w:t>
      </w:r>
      <w:r>
        <w:rPr>
          <w:rFonts w:hint="eastAsia"/>
          <w:b w:val="0"/>
          <w:bCs w:val="0"/>
          <w:sz w:val="24"/>
          <w:szCs w:val="24"/>
          <w:u w:val="single"/>
          <w:lang w:val="en-US" w:eastAsia="zh-CN"/>
        </w:rPr>
        <w:t xml:space="preserve"> 10 </w:t>
      </w:r>
      <w:r>
        <w:rPr>
          <w:rFonts w:hint="eastAsia"/>
          <w:b w:val="0"/>
          <w:bCs w:val="0"/>
          <w:sz w:val="24"/>
          <w:szCs w:val="24"/>
          <w:u w:val="none"/>
          <w:lang w:val="en-US" w:eastAsia="zh-CN"/>
        </w:rPr>
        <w:t>个日历天完成供货调试工作，付款方式按照商务要求款项结算中相关内容支付。</w:t>
      </w:r>
    </w:p>
    <w:p w14:paraId="7B9FAB27">
      <w:pPr>
        <w:numPr>
          <w:ilvl w:val="0"/>
          <w:numId w:val="2"/>
        </w:numPr>
        <w:ind w:left="0" w:leftChars="0" w:firstLine="0" w:firstLineChars="0"/>
        <w:jc w:val="both"/>
        <w:rPr>
          <w:rFonts w:hint="default"/>
          <w:b/>
          <w:bCs/>
          <w:sz w:val="24"/>
          <w:szCs w:val="24"/>
          <w:u w:val="none"/>
          <w:lang w:val="en-US" w:eastAsia="zh-CN"/>
        </w:rPr>
      </w:pPr>
      <w:r>
        <w:rPr>
          <w:rFonts w:hint="eastAsia"/>
          <w:b/>
          <w:bCs/>
          <w:sz w:val="24"/>
          <w:szCs w:val="24"/>
          <w:u w:val="none"/>
          <w:lang w:val="en-US" w:eastAsia="zh-CN"/>
        </w:rPr>
        <w:t>采购内容（包括采购品目、规格和数量）</w:t>
      </w:r>
    </w:p>
    <w:p w14:paraId="59B568D2">
      <w:pPr>
        <w:numPr>
          <w:ilvl w:val="0"/>
          <w:numId w:val="0"/>
        </w:numPr>
        <w:ind w:leftChars="0"/>
        <w:jc w:val="both"/>
        <w:rPr>
          <w:rFonts w:hint="eastAsia"/>
          <w:b w:val="0"/>
          <w:bCs w:val="0"/>
          <w:sz w:val="24"/>
          <w:szCs w:val="24"/>
          <w:u w:val="none"/>
          <w:lang w:val="en-US" w:eastAsia="zh-CN"/>
        </w:rPr>
      </w:pPr>
      <w:r>
        <w:rPr>
          <w:rFonts w:hint="eastAsia"/>
          <w:b w:val="0"/>
          <w:bCs w:val="0"/>
          <w:sz w:val="24"/>
          <w:szCs w:val="24"/>
          <w:u w:val="single"/>
          <w:lang w:val="en-US" w:eastAsia="zh-CN"/>
        </w:rPr>
        <w:t xml:space="preserve">                                                                               </w:t>
      </w:r>
    </w:p>
    <w:p w14:paraId="76CA5E20">
      <w:pPr>
        <w:pStyle w:val="2"/>
        <w:ind w:left="0" w:leftChars="0" w:firstLine="0" w:firstLineChars="0"/>
        <w:rPr>
          <w:rFonts w:hint="default"/>
          <w:b w:val="0"/>
          <w:bCs w:val="0"/>
          <w:color w:val="auto"/>
          <w:sz w:val="24"/>
          <w:szCs w:val="24"/>
          <w:u w:val="none"/>
          <w:lang w:val="en-US" w:eastAsia="zh-CN"/>
        </w:rPr>
      </w:pPr>
      <w:r>
        <w:rPr>
          <w:rFonts w:hint="eastAsia"/>
          <w:b w:val="0"/>
          <w:bCs w:val="0"/>
          <w:color w:val="auto"/>
          <w:sz w:val="24"/>
          <w:szCs w:val="24"/>
          <w:highlight w:val="none"/>
          <w:u w:val="none"/>
          <w:lang w:val="en-US" w:eastAsia="zh-CN"/>
        </w:rPr>
        <w:t>公务用车14辆</w:t>
      </w:r>
      <w:r>
        <w:rPr>
          <w:rFonts w:hint="eastAsia"/>
          <w:b w:val="0"/>
          <w:bCs w:val="0"/>
          <w:color w:val="auto"/>
          <w:sz w:val="24"/>
          <w:szCs w:val="24"/>
          <w:u w:val="none"/>
          <w:lang w:val="en-US" w:eastAsia="zh-CN"/>
        </w:rPr>
        <w:t>，其中插电式混动车辆11辆、纯电动车辆3辆。</w:t>
      </w:r>
    </w:p>
    <w:p w14:paraId="03956573">
      <w:pPr>
        <w:pStyle w:val="2"/>
        <w:rPr>
          <w:rFonts w:hint="default"/>
          <w:b w:val="0"/>
          <w:bCs w:val="0"/>
          <w:color w:val="auto"/>
          <w:sz w:val="24"/>
          <w:szCs w:val="24"/>
          <w:u w:val="none"/>
          <w:lang w:val="en-US" w:eastAsia="zh-CN"/>
        </w:rPr>
      </w:pPr>
    </w:p>
    <w:p w14:paraId="13CA4646">
      <w:pPr>
        <w:numPr>
          <w:ilvl w:val="0"/>
          <w:numId w:val="2"/>
        </w:numPr>
        <w:ind w:left="0" w:leftChars="0" w:firstLine="0" w:firstLineChars="0"/>
        <w:jc w:val="both"/>
        <w:rPr>
          <w:rFonts w:hint="eastAsia"/>
          <w:b/>
          <w:bCs/>
          <w:sz w:val="24"/>
          <w:szCs w:val="24"/>
          <w:u w:val="none"/>
          <w:lang w:val="en-US" w:eastAsia="zh-CN"/>
        </w:rPr>
      </w:pPr>
      <w:r>
        <w:rPr>
          <w:rFonts w:hint="eastAsia"/>
          <w:b/>
          <w:bCs/>
          <w:sz w:val="24"/>
          <w:szCs w:val="24"/>
          <w:u w:val="none"/>
          <w:lang w:val="en-US" w:eastAsia="zh-CN"/>
        </w:rPr>
        <w:t>技术要求（如有，一般适合于技术服务项目）</w:t>
      </w:r>
    </w:p>
    <w:p w14:paraId="2745E5CD">
      <w:pPr>
        <w:pStyle w:val="2"/>
        <w:ind w:left="0" w:leftChars="0" w:firstLine="0" w:firstLineChars="0"/>
        <w:rPr>
          <w:rFonts w:hint="eastAsia"/>
          <w:lang w:val="en-US" w:eastAsia="zh-CN"/>
        </w:rPr>
      </w:pPr>
      <w:r>
        <w:rPr>
          <w:rFonts w:hint="eastAsia"/>
          <w:b w:val="0"/>
          <w:bCs w:val="0"/>
          <w:sz w:val="24"/>
          <w:szCs w:val="24"/>
          <w:u w:val="single"/>
          <w:lang w:val="en-US" w:eastAsia="zh-CN"/>
        </w:rPr>
        <w:t xml:space="preserve">                                                                         </w:t>
      </w:r>
    </w:p>
    <w:tbl>
      <w:tblPr>
        <w:tblStyle w:val="7"/>
        <w:tblpPr w:leftFromText="180" w:rightFromText="180" w:vertAnchor="text" w:horzAnchor="page" w:tblpX="1795" w:tblpY="229"/>
        <w:tblOverlap w:val="never"/>
        <w:tblW w:w="8443" w:type="dxa"/>
        <w:tblInd w:w="0" w:type="dxa"/>
        <w:tblLayout w:type="fixed"/>
        <w:tblCellMar>
          <w:top w:w="0" w:type="dxa"/>
          <w:left w:w="108" w:type="dxa"/>
          <w:bottom w:w="0" w:type="dxa"/>
          <w:right w:w="108" w:type="dxa"/>
        </w:tblCellMar>
      </w:tblPr>
      <w:tblGrid>
        <w:gridCol w:w="802"/>
        <w:gridCol w:w="1835"/>
        <w:gridCol w:w="2083"/>
        <w:gridCol w:w="1835"/>
        <w:gridCol w:w="1888"/>
      </w:tblGrid>
      <w:tr w14:paraId="33C0A026">
        <w:tblPrEx>
          <w:tblCellMar>
            <w:top w:w="0" w:type="dxa"/>
            <w:left w:w="108" w:type="dxa"/>
            <w:bottom w:w="0" w:type="dxa"/>
            <w:right w:w="108" w:type="dxa"/>
          </w:tblCellMar>
        </w:tblPrEx>
        <w:trPr>
          <w:trHeight w:val="574"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463C2CC5">
            <w:pPr>
              <w:numPr>
                <w:ilvl w:val="0"/>
                <w:numId w:val="0"/>
              </w:numPr>
              <w:ind w:leftChars="0"/>
              <w:jc w:val="center"/>
              <w:rPr>
                <w:rFonts w:hint="eastAsia"/>
                <w:b w:val="0"/>
                <w:bCs w:val="0"/>
                <w:sz w:val="24"/>
                <w:szCs w:val="24"/>
                <w:u w:val="none"/>
                <w:lang w:val="en-US" w:eastAsia="zh-CN"/>
              </w:rPr>
            </w:pPr>
            <w:r>
              <w:rPr>
                <w:rFonts w:hint="eastAsia" w:asciiTheme="minorHAnsi" w:eastAsiaTheme="minorEastAsia"/>
                <w:b w:val="0"/>
                <w:bCs w:val="0"/>
                <w:sz w:val="24"/>
                <w:szCs w:val="24"/>
                <w:u w:val="none"/>
                <w:lang w:val="en-US" w:eastAsia="zh-CN"/>
              </w:rPr>
              <w:t>序号</w:t>
            </w: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5BCC6B1E">
            <w:pPr>
              <w:numPr>
                <w:ilvl w:val="0"/>
                <w:numId w:val="0"/>
              </w:numPr>
              <w:ind w:leftChars="0"/>
              <w:jc w:val="center"/>
              <w:rPr>
                <w:rFonts w:hint="eastAsia"/>
                <w:b w:val="0"/>
                <w:bCs w:val="0"/>
                <w:sz w:val="24"/>
                <w:szCs w:val="24"/>
                <w:u w:val="none"/>
                <w:lang w:val="en-US" w:eastAsia="zh-CN"/>
              </w:rPr>
            </w:pPr>
            <w:r>
              <w:rPr>
                <w:rFonts w:hint="eastAsia" w:asciiTheme="minorHAnsi" w:eastAsiaTheme="minorEastAsia"/>
                <w:b w:val="0"/>
                <w:bCs w:val="0"/>
                <w:sz w:val="24"/>
                <w:szCs w:val="24"/>
                <w:u w:val="none"/>
                <w:lang w:val="en-US" w:eastAsia="zh-CN"/>
              </w:rPr>
              <w:t>车型</w:t>
            </w:r>
          </w:p>
        </w:tc>
        <w:tc>
          <w:tcPr>
            <w:tcW w:w="2083" w:type="dxa"/>
            <w:tcBorders>
              <w:top w:val="single" w:color="000000" w:sz="4" w:space="0"/>
              <w:left w:val="single" w:color="000000" w:sz="4" w:space="0"/>
              <w:bottom w:val="single" w:color="000000" w:sz="4" w:space="0"/>
              <w:right w:val="single" w:color="000000" w:sz="4" w:space="0"/>
            </w:tcBorders>
            <w:noWrap/>
            <w:vAlign w:val="center"/>
          </w:tcPr>
          <w:p w14:paraId="671D8E5C">
            <w:pPr>
              <w:numPr>
                <w:ilvl w:val="0"/>
                <w:numId w:val="0"/>
              </w:numPr>
              <w:ind w:leftChars="0"/>
              <w:jc w:val="center"/>
              <w:rPr>
                <w:rFonts w:hint="eastAsia"/>
                <w:b w:val="0"/>
                <w:bCs w:val="0"/>
                <w:sz w:val="24"/>
                <w:szCs w:val="24"/>
                <w:u w:val="none"/>
                <w:lang w:val="en-US" w:eastAsia="zh-CN"/>
              </w:rPr>
            </w:pPr>
            <w:r>
              <w:rPr>
                <w:rFonts w:hint="eastAsia" w:asciiTheme="minorHAnsi" w:eastAsiaTheme="minorEastAsia"/>
                <w:b w:val="0"/>
                <w:bCs w:val="0"/>
                <w:sz w:val="24"/>
                <w:szCs w:val="24"/>
                <w:u w:val="none"/>
                <w:lang w:val="en-US" w:eastAsia="zh-CN"/>
              </w:rPr>
              <w:t>车辆型号</w:t>
            </w: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5ADA4805">
            <w:pPr>
              <w:numPr>
                <w:ilvl w:val="0"/>
                <w:numId w:val="0"/>
              </w:numPr>
              <w:ind w:leftChars="0"/>
              <w:jc w:val="center"/>
              <w:rPr>
                <w:rFonts w:hint="eastAsia"/>
                <w:b w:val="0"/>
                <w:bCs w:val="0"/>
                <w:sz w:val="24"/>
                <w:szCs w:val="24"/>
                <w:u w:val="none"/>
                <w:lang w:val="en-US" w:eastAsia="zh-CN"/>
              </w:rPr>
            </w:pPr>
            <w:r>
              <w:rPr>
                <w:rFonts w:hint="eastAsia" w:asciiTheme="minorHAnsi" w:eastAsiaTheme="minorEastAsia"/>
                <w:b w:val="0"/>
                <w:bCs w:val="0"/>
                <w:sz w:val="24"/>
                <w:szCs w:val="24"/>
                <w:u w:val="none"/>
                <w:lang w:val="en-US" w:eastAsia="zh-CN"/>
              </w:rPr>
              <w:t>用途</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6ED3ABB6">
            <w:pPr>
              <w:numPr>
                <w:ilvl w:val="0"/>
                <w:numId w:val="0"/>
              </w:numPr>
              <w:ind w:leftChars="0"/>
              <w:jc w:val="center"/>
              <w:rPr>
                <w:rFonts w:hint="eastAsia" w:asciiTheme="minorHAnsi" w:eastAsiaTheme="minorEastAsia"/>
                <w:b w:val="0"/>
                <w:bCs w:val="0"/>
                <w:sz w:val="24"/>
                <w:szCs w:val="24"/>
                <w:u w:val="none"/>
                <w:lang w:val="en-US" w:eastAsia="zh-CN"/>
              </w:rPr>
            </w:pPr>
            <w:r>
              <w:rPr>
                <w:rFonts w:hint="eastAsia" w:asciiTheme="minorHAnsi" w:eastAsiaTheme="minorEastAsia"/>
                <w:b w:val="0"/>
                <w:bCs w:val="0"/>
                <w:sz w:val="24"/>
                <w:szCs w:val="24"/>
                <w:u w:val="none"/>
                <w:lang w:val="en-US" w:eastAsia="zh-CN"/>
              </w:rPr>
              <w:t>购置数量</w:t>
            </w:r>
            <w:r>
              <w:rPr>
                <w:rFonts w:hint="eastAsia"/>
                <w:b w:val="0"/>
                <w:bCs w:val="0"/>
                <w:sz w:val="24"/>
                <w:szCs w:val="24"/>
                <w:u w:val="none"/>
                <w:lang w:val="en-US" w:eastAsia="zh-CN"/>
              </w:rPr>
              <w:t>（辆）</w:t>
            </w:r>
          </w:p>
        </w:tc>
      </w:tr>
      <w:tr w14:paraId="0006915E">
        <w:tblPrEx>
          <w:tblCellMar>
            <w:top w:w="0" w:type="dxa"/>
            <w:left w:w="108" w:type="dxa"/>
            <w:bottom w:w="0" w:type="dxa"/>
            <w:right w:w="108" w:type="dxa"/>
          </w:tblCellMar>
        </w:tblPrEx>
        <w:trPr>
          <w:trHeight w:val="574"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25886D46">
            <w:pPr>
              <w:numPr>
                <w:ilvl w:val="0"/>
                <w:numId w:val="0"/>
              </w:numPr>
              <w:ind w:leftChars="0"/>
              <w:jc w:val="center"/>
              <w:rPr>
                <w:rFonts w:hint="eastAsia"/>
                <w:b w:val="0"/>
                <w:bCs w:val="0"/>
                <w:sz w:val="24"/>
                <w:szCs w:val="24"/>
                <w:u w:val="none"/>
                <w:lang w:val="en-US" w:eastAsia="zh-CN"/>
              </w:rPr>
            </w:pPr>
            <w:r>
              <w:rPr>
                <w:rFonts w:hint="eastAsia" w:asciiTheme="minorHAnsi" w:eastAsiaTheme="minorEastAsia"/>
                <w:b w:val="0"/>
                <w:bCs w:val="0"/>
                <w:sz w:val="24"/>
                <w:szCs w:val="24"/>
                <w:u w:val="none"/>
                <w:lang w:val="en-US" w:eastAsia="zh-CN"/>
              </w:rPr>
              <w:t>1</w:t>
            </w: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7ADF8AAD">
            <w:pPr>
              <w:numPr>
                <w:ilvl w:val="0"/>
                <w:numId w:val="0"/>
              </w:numPr>
              <w:ind w:leftChars="0"/>
              <w:jc w:val="center"/>
              <w:rPr>
                <w:rFonts w:hint="default"/>
                <w:b w:val="0"/>
                <w:bCs w:val="0"/>
                <w:color w:val="auto"/>
                <w:sz w:val="24"/>
                <w:szCs w:val="24"/>
                <w:u w:val="none"/>
                <w:lang w:val="en-US" w:eastAsia="zh-CN"/>
              </w:rPr>
            </w:pPr>
            <w:r>
              <w:rPr>
                <w:rFonts w:hint="eastAsia"/>
                <w:b w:val="0"/>
                <w:bCs w:val="0"/>
                <w:sz w:val="24"/>
                <w:szCs w:val="24"/>
                <w:u w:val="none"/>
                <w:lang w:val="en-US" w:eastAsia="zh-CN"/>
              </w:rPr>
              <w:t>小型轿车</w:t>
            </w:r>
          </w:p>
        </w:tc>
        <w:tc>
          <w:tcPr>
            <w:tcW w:w="2083" w:type="dxa"/>
            <w:tcBorders>
              <w:top w:val="single" w:color="000000" w:sz="4" w:space="0"/>
              <w:left w:val="single" w:color="000000" w:sz="4" w:space="0"/>
              <w:bottom w:val="single" w:color="000000" w:sz="4" w:space="0"/>
              <w:right w:val="single" w:color="000000" w:sz="4" w:space="0"/>
            </w:tcBorders>
            <w:noWrap/>
            <w:vAlign w:val="center"/>
          </w:tcPr>
          <w:p w14:paraId="0E25685A">
            <w:pPr>
              <w:numPr>
                <w:ilvl w:val="0"/>
                <w:numId w:val="0"/>
              </w:numPr>
              <w:ind w:leftChars="0"/>
              <w:jc w:val="center"/>
              <w:rPr>
                <w:rFonts w:hint="default"/>
                <w:b w:val="0"/>
                <w:bCs w:val="0"/>
                <w:sz w:val="24"/>
                <w:szCs w:val="24"/>
                <w:u w:val="none"/>
                <w:lang w:val="en-US" w:eastAsia="zh-CN"/>
              </w:rPr>
            </w:pPr>
            <w:r>
              <w:rPr>
                <w:rFonts w:hint="eastAsia"/>
                <w:b w:val="0"/>
                <w:bCs w:val="0"/>
                <w:sz w:val="24"/>
                <w:szCs w:val="24"/>
                <w:u w:val="none"/>
                <w:lang w:val="en-US" w:eastAsia="zh-CN"/>
              </w:rPr>
              <w:t>插电式混动</w:t>
            </w: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5A3B2DEF">
            <w:pPr>
              <w:numPr>
                <w:ilvl w:val="0"/>
                <w:numId w:val="0"/>
              </w:numPr>
              <w:ind w:leftChars="0"/>
              <w:jc w:val="center"/>
              <w:rPr>
                <w:rFonts w:hint="eastAsia"/>
                <w:b w:val="0"/>
                <w:bCs w:val="0"/>
                <w:sz w:val="24"/>
                <w:szCs w:val="24"/>
                <w:u w:val="none"/>
                <w:lang w:val="en-US" w:eastAsia="zh-CN"/>
              </w:rPr>
            </w:pPr>
            <w:r>
              <w:rPr>
                <w:rFonts w:hint="eastAsia"/>
                <w:b w:val="0"/>
                <w:bCs w:val="0"/>
                <w:sz w:val="24"/>
                <w:szCs w:val="24"/>
                <w:u w:val="none"/>
                <w:lang w:val="en-US" w:eastAsia="zh-CN"/>
              </w:rPr>
              <w:t>公务用车</w:t>
            </w:r>
            <w:r>
              <w:rPr>
                <w:rFonts w:hint="eastAsia" w:asciiTheme="minorHAnsi" w:eastAsiaTheme="minorEastAsia"/>
                <w:b w:val="0"/>
                <w:bCs w:val="0"/>
                <w:sz w:val="24"/>
                <w:szCs w:val="24"/>
                <w:u w:val="none"/>
                <w:lang w:val="en-US" w:eastAsia="zh-CN"/>
              </w:rPr>
              <w:t xml:space="preserve">                         </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4B64C508">
            <w:pPr>
              <w:numPr>
                <w:ilvl w:val="0"/>
                <w:numId w:val="0"/>
              </w:numPr>
              <w:ind w:leftChars="0"/>
              <w:jc w:val="center"/>
              <w:rPr>
                <w:rFonts w:hint="default"/>
                <w:b w:val="0"/>
                <w:bCs w:val="0"/>
                <w:sz w:val="24"/>
                <w:szCs w:val="24"/>
                <w:u w:val="none"/>
                <w:lang w:val="en-US" w:eastAsia="zh-CN"/>
              </w:rPr>
            </w:pPr>
            <w:r>
              <w:rPr>
                <w:rFonts w:hint="eastAsia"/>
                <w:b w:val="0"/>
                <w:bCs w:val="0"/>
                <w:sz w:val="24"/>
                <w:szCs w:val="24"/>
                <w:u w:val="none"/>
                <w:lang w:val="en-US" w:eastAsia="zh-CN"/>
              </w:rPr>
              <w:t>11</w:t>
            </w:r>
          </w:p>
        </w:tc>
      </w:tr>
      <w:tr w14:paraId="6E6601B4">
        <w:tblPrEx>
          <w:tblCellMar>
            <w:top w:w="0" w:type="dxa"/>
            <w:left w:w="108" w:type="dxa"/>
            <w:bottom w:w="0" w:type="dxa"/>
            <w:right w:w="108" w:type="dxa"/>
          </w:tblCellMar>
        </w:tblPrEx>
        <w:trPr>
          <w:trHeight w:val="533"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2D1F5687">
            <w:pPr>
              <w:numPr>
                <w:ilvl w:val="0"/>
                <w:numId w:val="0"/>
              </w:numPr>
              <w:ind w:leftChars="0"/>
              <w:jc w:val="center"/>
              <w:rPr>
                <w:rFonts w:hint="eastAsia"/>
                <w:b w:val="0"/>
                <w:bCs w:val="0"/>
                <w:sz w:val="24"/>
                <w:szCs w:val="24"/>
                <w:u w:val="none"/>
                <w:lang w:val="en-US" w:eastAsia="zh-CN"/>
              </w:rPr>
            </w:pPr>
            <w:r>
              <w:rPr>
                <w:rFonts w:hint="eastAsia"/>
                <w:b w:val="0"/>
                <w:bCs w:val="0"/>
                <w:sz w:val="24"/>
                <w:szCs w:val="24"/>
                <w:u w:val="none"/>
                <w:lang w:val="en-US" w:eastAsia="zh-CN"/>
              </w:rPr>
              <w:t>2</w:t>
            </w: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016B1FA1">
            <w:pPr>
              <w:numPr>
                <w:ilvl w:val="0"/>
                <w:numId w:val="0"/>
              </w:numPr>
              <w:ind w:leftChars="0"/>
              <w:jc w:val="center"/>
              <w:rPr>
                <w:rFonts w:hint="default"/>
                <w:b w:val="0"/>
                <w:bCs w:val="0"/>
                <w:color w:val="auto"/>
                <w:sz w:val="24"/>
                <w:szCs w:val="24"/>
                <w:u w:val="none"/>
                <w:lang w:val="en-US" w:eastAsia="zh-CN"/>
              </w:rPr>
            </w:pPr>
            <w:r>
              <w:rPr>
                <w:rFonts w:hint="eastAsia"/>
                <w:b w:val="0"/>
                <w:bCs w:val="0"/>
                <w:color w:val="auto"/>
                <w:sz w:val="24"/>
                <w:szCs w:val="24"/>
                <w:u w:val="none"/>
                <w:lang w:val="en-US" w:eastAsia="zh-CN"/>
              </w:rPr>
              <w:t>皮卡</w:t>
            </w:r>
          </w:p>
        </w:tc>
        <w:tc>
          <w:tcPr>
            <w:tcW w:w="2083" w:type="dxa"/>
            <w:tcBorders>
              <w:top w:val="single" w:color="000000" w:sz="4" w:space="0"/>
              <w:left w:val="single" w:color="000000" w:sz="4" w:space="0"/>
              <w:bottom w:val="single" w:color="000000" w:sz="4" w:space="0"/>
              <w:right w:val="single" w:color="000000" w:sz="4" w:space="0"/>
            </w:tcBorders>
            <w:noWrap/>
            <w:vAlign w:val="center"/>
          </w:tcPr>
          <w:p w14:paraId="198A1C24">
            <w:pPr>
              <w:numPr>
                <w:ilvl w:val="0"/>
                <w:numId w:val="0"/>
              </w:numPr>
              <w:ind w:leftChars="0"/>
              <w:jc w:val="center"/>
              <w:rPr>
                <w:rFonts w:hint="default"/>
                <w:b w:val="0"/>
                <w:bCs w:val="0"/>
                <w:sz w:val="24"/>
                <w:szCs w:val="24"/>
                <w:u w:val="none"/>
                <w:lang w:val="en-US" w:eastAsia="zh-CN"/>
              </w:rPr>
            </w:pPr>
            <w:r>
              <w:rPr>
                <w:rFonts w:hint="eastAsia"/>
                <w:b w:val="0"/>
                <w:bCs w:val="0"/>
                <w:sz w:val="24"/>
                <w:szCs w:val="24"/>
                <w:u w:val="none"/>
                <w:lang w:val="en-US" w:eastAsia="zh-CN"/>
              </w:rPr>
              <w:t>纯电动</w:t>
            </w: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37A57235">
            <w:pPr>
              <w:numPr>
                <w:ilvl w:val="0"/>
                <w:numId w:val="0"/>
              </w:numPr>
              <w:ind w:leftChars="0"/>
              <w:jc w:val="center"/>
              <w:rPr>
                <w:rFonts w:hint="eastAsia"/>
                <w:b w:val="0"/>
                <w:bCs w:val="0"/>
                <w:sz w:val="24"/>
                <w:szCs w:val="24"/>
                <w:u w:val="none"/>
                <w:lang w:val="en-US" w:eastAsia="zh-CN"/>
              </w:rPr>
            </w:pPr>
            <w:r>
              <w:rPr>
                <w:rFonts w:hint="eastAsia"/>
                <w:b w:val="0"/>
                <w:bCs w:val="0"/>
                <w:sz w:val="24"/>
                <w:szCs w:val="24"/>
                <w:u w:val="none"/>
                <w:lang w:val="en-US" w:eastAsia="zh-CN"/>
              </w:rPr>
              <w:t>公务用车</w:t>
            </w:r>
            <w:r>
              <w:rPr>
                <w:rFonts w:hint="eastAsia" w:asciiTheme="minorHAnsi" w:eastAsiaTheme="minorEastAsia"/>
                <w:b w:val="0"/>
                <w:bCs w:val="0"/>
                <w:sz w:val="24"/>
                <w:szCs w:val="24"/>
                <w:u w:val="none"/>
                <w:lang w:val="en-US" w:eastAsia="zh-CN"/>
              </w:rPr>
              <w:t xml:space="preserve"> </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43C3D8EB">
            <w:pPr>
              <w:numPr>
                <w:ilvl w:val="0"/>
                <w:numId w:val="0"/>
              </w:numPr>
              <w:ind w:leftChars="0"/>
              <w:jc w:val="center"/>
              <w:rPr>
                <w:rFonts w:hint="default"/>
                <w:b w:val="0"/>
                <w:bCs w:val="0"/>
                <w:sz w:val="24"/>
                <w:szCs w:val="24"/>
                <w:u w:val="none"/>
                <w:lang w:val="en-US" w:eastAsia="zh-CN"/>
              </w:rPr>
            </w:pPr>
            <w:r>
              <w:rPr>
                <w:rFonts w:hint="eastAsia"/>
                <w:b w:val="0"/>
                <w:bCs w:val="0"/>
                <w:sz w:val="24"/>
                <w:szCs w:val="24"/>
                <w:u w:val="none"/>
                <w:lang w:val="en-US" w:eastAsia="zh-CN"/>
              </w:rPr>
              <w:t>3</w:t>
            </w:r>
          </w:p>
        </w:tc>
      </w:tr>
    </w:tbl>
    <w:p w14:paraId="20F41286">
      <w:pPr>
        <w:numPr>
          <w:ilvl w:val="0"/>
          <w:numId w:val="0"/>
        </w:numPr>
        <w:ind w:leftChars="0"/>
        <w:jc w:val="both"/>
        <w:rPr>
          <w:rFonts w:hint="eastAsia"/>
          <w:b/>
          <w:bCs/>
          <w:sz w:val="24"/>
          <w:szCs w:val="24"/>
          <w:u w:val="none"/>
          <w:lang w:val="en-US" w:eastAsia="zh-CN"/>
        </w:rPr>
      </w:pPr>
    </w:p>
    <w:p w14:paraId="4F9505C1">
      <w:pPr>
        <w:numPr>
          <w:ilvl w:val="0"/>
          <w:numId w:val="2"/>
        </w:numPr>
        <w:ind w:left="0" w:leftChars="0" w:firstLine="0" w:firstLineChars="0"/>
        <w:jc w:val="both"/>
        <w:rPr>
          <w:rFonts w:hint="eastAsia"/>
          <w:b/>
          <w:bCs/>
          <w:sz w:val="24"/>
          <w:szCs w:val="24"/>
          <w:u w:val="none"/>
          <w:lang w:val="en-US" w:eastAsia="zh-CN"/>
        </w:rPr>
      </w:pPr>
      <w:r>
        <w:rPr>
          <w:rFonts w:hint="eastAsia"/>
          <w:b/>
          <w:bCs/>
          <w:sz w:val="24"/>
          <w:szCs w:val="24"/>
          <w:u w:val="none"/>
          <w:lang w:val="en-US" w:eastAsia="zh-CN"/>
        </w:rPr>
        <w:t>服务要求（如对人员配置、专业设备、服务标准等）</w:t>
      </w:r>
    </w:p>
    <w:p w14:paraId="6E31F7A4">
      <w:pPr>
        <w:numPr>
          <w:ilvl w:val="0"/>
          <w:numId w:val="0"/>
        </w:numPr>
        <w:ind w:leftChars="0"/>
        <w:jc w:val="both"/>
        <w:rPr>
          <w:rFonts w:hint="eastAsia"/>
          <w:b w:val="0"/>
          <w:bCs w:val="0"/>
          <w:sz w:val="24"/>
          <w:szCs w:val="24"/>
          <w:u w:val="none"/>
          <w:lang w:val="en-US" w:eastAsia="zh-CN"/>
        </w:rPr>
      </w:pPr>
      <w:r>
        <w:rPr>
          <w:rFonts w:hint="eastAsia"/>
          <w:b w:val="0"/>
          <w:bCs w:val="0"/>
          <w:sz w:val="24"/>
          <w:szCs w:val="24"/>
          <w:u w:val="single"/>
          <w:lang w:val="en-US" w:eastAsia="zh-CN"/>
        </w:rPr>
        <w:t xml:space="preserve">                                                                             </w:t>
      </w:r>
    </w:p>
    <w:p w14:paraId="0295DF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b/>
          <w:bCs/>
          <w:sz w:val="24"/>
          <w:szCs w:val="24"/>
          <w:u w:val="none"/>
          <w:lang w:val="en-US" w:eastAsia="zh-CN"/>
        </w:rPr>
      </w:pPr>
      <w:r>
        <w:rPr>
          <w:rFonts w:hint="eastAsia"/>
          <w:b w:val="0"/>
          <w:bCs w:val="0"/>
          <w:sz w:val="24"/>
          <w:szCs w:val="24"/>
          <w:u w:val="none"/>
          <w:lang w:val="en-US" w:eastAsia="zh-CN"/>
        </w:rPr>
        <w:t>供应商签订合同后，根据合同规定卖方承担与供货有关的辅助服务如运输、保险以及其它的伴随服务，例如安装、调试、提供技术援助、培训和合同中规定卖方应承担的其它义务。</w:t>
      </w:r>
    </w:p>
    <w:p w14:paraId="706C49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bCs/>
          <w:sz w:val="24"/>
          <w:szCs w:val="24"/>
          <w:u w:val="none"/>
          <w:lang w:val="en-US" w:eastAsia="zh-CN"/>
        </w:rPr>
      </w:pPr>
      <w:r>
        <w:rPr>
          <w:rFonts w:hint="eastAsia"/>
          <w:b/>
          <w:bCs/>
          <w:sz w:val="24"/>
          <w:szCs w:val="24"/>
          <w:u w:val="none"/>
          <w:lang w:val="en-US" w:eastAsia="zh-CN"/>
        </w:rPr>
        <w:t>商务要求（如服务期限、款项结算等）</w:t>
      </w:r>
    </w:p>
    <w:p w14:paraId="583FEA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sz w:val="24"/>
          <w:szCs w:val="24"/>
          <w:u w:val="single"/>
          <w:lang w:val="en-US" w:eastAsia="zh-CN"/>
        </w:rPr>
      </w:pPr>
      <w:r>
        <w:rPr>
          <w:rFonts w:hint="eastAsia"/>
          <w:b w:val="0"/>
          <w:bCs w:val="0"/>
          <w:sz w:val="24"/>
          <w:szCs w:val="24"/>
          <w:u w:val="single"/>
          <w:lang w:val="en-US" w:eastAsia="zh-CN"/>
        </w:rPr>
        <w:t xml:space="preserve">                                                                            </w:t>
      </w:r>
    </w:p>
    <w:p w14:paraId="13862C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sz w:val="24"/>
          <w:szCs w:val="24"/>
          <w:u w:val="none"/>
          <w:lang w:val="en-US" w:eastAsia="zh-CN"/>
        </w:rPr>
      </w:pPr>
      <w:r>
        <w:rPr>
          <w:rFonts w:hint="eastAsia" w:ascii="Times New Roman" w:hAnsi="Times New Roman" w:eastAsiaTheme="minorEastAsia" w:cstheme="minorBidi"/>
          <w:kern w:val="2"/>
          <w:sz w:val="24"/>
          <w:szCs w:val="24"/>
          <w:lang w:val="en-US" w:eastAsia="zh-CN" w:bidi="ar-SA"/>
        </w:rPr>
        <w:t>1、交</w:t>
      </w:r>
      <w:r>
        <w:rPr>
          <w:rFonts w:hint="eastAsia"/>
          <w:b w:val="0"/>
          <w:bCs w:val="0"/>
          <w:sz w:val="24"/>
          <w:szCs w:val="24"/>
          <w:u w:val="none"/>
          <w:lang w:val="en-US" w:eastAsia="zh-CN"/>
        </w:rPr>
        <w:t>货期：自合同签订之日起，10个日历天完成全部项目内容，并交付采购人验收合格。</w:t>
      </w:r>
    </w:p>
    <w:p w14:paraId="4DA825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color w:val="auto"/>
          <w:sz w:val="24"/>
          <w:szCs w:val="24"/>
          <w:highlight w:val="none"/>
          <w:u w:val="none"/>
          <w:lang w:val="en-US" w:eastAsia="zh-CN"/>
        </w:rPr>
      </w:pPr>
      <w:r>
        <w:rPr>
          <w:rFonts w:hint="eastAsia"/>
          <w:b w:val="0"/>
          <w:bCs w:val="0"/>
          <w:sz w:val="24"/>
          <w:szCs w:val="24"/>
          <w:u w:val="none"/>
          <w:lang w:val="en-US" w:eastAsia="zh-CN"/>
        </w:rPr>
        <w:t>2、款项</w:t>
      </w:r>
      <w:bookmarkStart w:id="0" w:name="_GoBack"/>
      <w:bookmarkEnd w:id="0"/>
      <w:r>
        <w:rPr>
          <w:rFonts w:hint="eastAsia"/>
          <w:b w:val="0"/>
          <w:bCs w:val="0"/>
          <w:sz w:val="24"/>
          <w:szCs w:val="24"/>
          <w:u w:val="none"/>
          <w:lang w:val="en-US" w:eastAsia="zh-CN"/>
        </w:rPr>
        <w:t>结算：全部车辆到达采购人指定地点履约验收合格后，按照合同支付货款。</w:t>
      </w:r>
      <w:r>
        <w:rPr>
          <w:rFonts w:hint="eastAsia"/>
          <w:b w:val="0"/>
          <w:bCs w:val="0"/>
          <w:color w:val="auto"/>
          <w:sz w:val="24"/>
          <w:szCs w:val="24"/>
          <w:highlight w:val="none"/>
          <w:u w:val="none"/>
          <w:lang w:val="en-US" w:eastAsia="zh-CN"/>
        </w:rPr>
        <w:t>付款前，供应商应向采购人开具符合财务、税务规定的等额增值税发票。</w:t>
      </w:r>
    </w:p>
    <w:p w14:paraId="7C6CD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3、支付方式：银行转账</w:t>
      </w:r>
    </w:p>
    <w:p w14:paraId="4D111F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4、质保期：（1）插电式混动整车质保六年或10万公里</w:t>
      </w:r>
    </w:p>
    <w:p w14:paraId="5A9C1F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both"/>
        <w:textAlignment w:val="auto"/>
        <w:rPr>
          <w:rFonts w:hint="eastAsia"/>
          <w:b w:val="0"/>
          <w:bCs w:val="0"/>
          <w:sz w:val="24"/>
          <w:szCs w:val="24"/>
          <w:u w:val="none"/>
          <w:lang w:val="en-US" w:eastAsia="zh-CN"/>
        </w:rPr>
      </w:pPr>
      <w:r>
        <w:rPr>
          <w:rFonts w:hint="eastAsia"/>
          <w:b w:val="0"/>
          <w:bCs w:val="0"/>
          <w:color w:val="auto"/>
          <w:sz w:val="24"/>
          <w:szCs w:val="24"/>
          <w:highlight w:val="none"/>
          <w:u w:val="none"/>
          <w:lang w:val="en-US" w:eastAsia="zh-CN"/>
        </w:rPr>
        <w:t>（2）纯电动整车质保三年或10万公里</w:t>
      </w:r>
    </w:p>
    <w:p w14:paraId="460D149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bCs/>
          <w:sz w:val="24"/>
          <w:szCs w:val="24"/>
          <w:u w:val="none"/>
          <w:lang w:val="en-US" w:eastAsia="zh-CN"/>
        </w:rPr>
      </w:pPr>
      <w:r>
        <w:rPr>
          <w:rFonts w:hint="eastAsia"/>
          <w:b/>
          <w:bCs/>
          <w:sz w:val="24"/>
          <w:szCs w:val="24"/>
          <w:u w:val="none"/>
          <w:lang w:val="en-US" w:eastAsia="zh-CN"/>
        </w:rPr>
        <w:t>其他</w:t>
      </w:r>
    </w:p>
    <w:p w14:paraId="48BD4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sz w:val="24"/>
          <w:szCs w:val="24"/>
          <w:u w:val="none"/>
          <w:lang w:val="en-US" w:eastAsia="zh-CN"/>
        </w:rPr>
      </w:pPr>
      <w:r>
        <w:rPr>
          <w:rFonts w:hint="eastAsia"/>
          <w:b w:val="0"/>
          <w:bCs w:val="0"/>
          <w:sz w:val="24"/>
          <w:szCs w:val="24"/>
          <w:u w:val="single"/>
          <w:lang w:val="en-US" w:eastAsia="zh-CN"/>
        </w:rPr>
        <w:t xml:space="preserve">                                                                             </w:t>
      </w:r>
    </w:p>
    <w:p w14:paraId="31C6150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对服务商的业绩要求</w:t>
      </w:r>
    </w:p>
    <w:p w14:paraId="3D6BF2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近三年类似业绩</w:t>
      </w:r>
    </w:p>
    <w:p w14:paraId="554E1F9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进度要求</w:t>
      </w:r>
    </w:p>
    <w:p w14:paraId="4C4016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谈判公示完成、专家库专家验收通过后即投入使用。</w:t>
      </w:r>
    </w:p>
    <w:p w14:paraId="096B17E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自合同签订之日起，</w:t>
      </w:r>
      <w:r>
        <w:rPr>
          <w:rFonts w:hint="eastAsia"/>
          <w:sz w:val="24"/>
          <w:szCs w:val="24"/>
          <w:lang w:val="en-US" w:eastAsia="zh-CN"/>
        </w:rPr>
        <w:t>10</w:t>
      </w:r>
      <w:r>
        <w:rPr>
          <w:rFonts w:hint="default"/>
          <w:sz w:val="24"/>
          <w:szCs w:val="24"/>
          <w:lang w:val="en-US" w:eastAsia="zh-CN"/>
        </w:rPr>
        <w:t>个日历天完成全部项目，并交付采购人验收合格。</w:t>
      </w:r>
    </w:p>
    <w:p w14:paraId="24E246B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成果交付要求</w:t>
      </w:r>
    </w:p>
    <w:p w14:paraId="5D32811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1.由供应商负责派技术人员到现场进行免费安装、调试至验收合格。</w:t>
      </w:r>
    </w:p>
    <w:p w14:paraId="3CB455B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2.供应商应在合同签订后，向采购人提供安装、调试及试运行的进度计划表。</w:t>
      </w:r>
    </w:p>
    <w:p w14:paraId="5CC1542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05493CF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4.安装和调试期间所发生的费用均由供应商负责。</w:t>
      </w:r>
    </w:p>
    <w:p w14:paraId="0B5C5B0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质量验收标准或规范</w:t>
      </w:r>
    </w:p>
    <w:p w14:paraId="32276B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现行的国家标准或国家行政部门颁布的法律法规、规章制度等，是项目验收的另一个重要依据。没有国家标准的，可以参考行业标准。</w:t>
      </w:r>
    </w:p>
    <w:p w14:paraId="4A78498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质量保证：供应商提供的设备(产品)及材料必须保证质量可靠，为市场最新或主流设备(产品)，进货渠道正常，配置合理齐全，应全面满足谈判文件的要求，谈判文件未明确要求的内容，采购人须按谈判设备(产品)主流标准配置或以采购人的补充要求为准。所供设备(产品)工艺质量应严格按国家最新发布的规范标准执行，如发生质量问题由供应商承担全部责任。</w:t>
      </w:r>
    </w:p>
    <w:p w14:paraId="23DF899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供应商应保证合同项下所供设备是合同规定厂家供货生产的，全新未使用过的，并完全符合合同规定的质量、规格等要求。</w:t>
      </w:r>
    </w:p>
    <w:p w14:paraId="156A2A4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验收标准：由采购人和供应商共同对项目整体进行验收。其内容包括确认设备(产品)的产地、规格、型号和数量，对其设备(产品)技术指标、性能参数以及工程质量是否达到现行国家有关验收规范“合格”标准进行逐项检查。</w:t>
      </w:r>
    </w:p>
    <w:p w14:paraId="3587AD9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1.所验设备(产品)的指标、性能参数通过验收达不到谈判文件要求和谈判响应文件承诺的，或在使用中发现采购人不能容忍的缺陷等，将视为设备(产品)验收不合格，供应商应无条件免费更换或退货。</w:t>
      </w:r>
    </w:p>
    <w:p w14:paraId="43C5617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2.若发现供应商有弄虚作假的，在谈判阶段故意或随意夸大设备(产品)技术性能，供应商应无条件退货，并赔偿采购人相应的损失。</w:t>
      </w:r>
    </w:p>
    <w:p w14:paraId="14DDB08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3.验收标准：按谈判文件、谈判响应文件及澄清函等技术指标进行验收。各项指标均应符合验收标准及要求。</w:t>
      </w:r>
    </w:p>
    <w:p w14:paraId="3779CED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4.验收合格后，填写验收单，双方签字生效。</w:t>
      </w:r>
    </w:p>
    <w:p w14:paraId="409F607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5.验收依据：</w:t>
      </w:r>
    </w:p>
    <w:p w14:paraId="685C3DD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a)合同文本；</w:t>
      </w:r>
    </w:p>
    <w:p w14:paraId="3E3CDBC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b)谈判响应文件及澄清函、谈判文件；</w:t>
      </w:r>
    </w:p>
    <w:p w14:paraId="29B1CF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c)国家和行业制定的相应的标准和规范。</w:t>
      </w:r>
    </w:p>
    <w:p w14:paraId="5DEC9E6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d)设备(产品)验收清单（注明各部件的品名、数量、规格型号和原产地或生产厂家)。</w:t>
      </w:r>
    </w:p>
    <w:p w14:paraId="2D19A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b w:val="0"/>
          <w:bCs w:val="0"/>
          <w:sz w:val="24"/>
          <w:szCs w:val="24"/>
          <w:u w:val="none"/>
          <w:lang w:val="en-US" w:eastAsia="zh-CN"/>
        </w:rPr>
      </w:pPr>
      <w:r>
        <w:rPr>
          <w:rFonts w:hint="eastAsia"/>
          <w:b w:val="0"/>
          <w:bCs w:val="0"/>
          <w:sz w:val="24"/>
          <w:szCs w:val="24"/>
          <w:u w:val="none"/>
          <w:lang w:val="en-US" w:eastAsia="zh-CN"/>
        </w:rPr>
        <w:t xml:space="preserve">（五）违约责任                                                                                    </w:t>
      </w:r>
    </w:p>
    <w:p w14:paraId="1675D78B">
      <w:pPr>
        <w:keepNext w:val="0"/>
        <w:keepLines w:val="0"/>
        <w:pageBreakBefore w:val="0"/>
        <w:widowControl w:val="0"/>
        <w:numPr>
          <w:ilvl w:val="0"/>
          <w:numId w:val="0"/>
        </w:numPr>
        <w:tabs>
          <w:tab w:val="left" w:pos="786"/>
        </w:tabs>
        <w:kinsoku/>
        <w:wordWrap/>
        <w:overflowPunct/>
        <w:topLinePunct w:val="0"/>
        <w:autoSpaceDE/>
        <w:autoSpaceDN/>
        <w:bidi w:val="0"/>
        <w:adjustRightInd/>
        <w:snapToGrid/>
        <w:spacing w:line="360" w:lineRule="auto"/>
        <w:ind w:leftChars="0" w:firstLine="480" w:firstLineChars="200"/>
        <w:jc w:val="both"/>
        <w:textAlignment w:val="auto"/>
        <w:rPr>
          <w:rFonts w:hint="default"/>
          <w:b w:val="0"/>
          <w:bCs w:val="0"/>
          <w:sz w:val="24"/>
          <w:szCs w:val="24"/>
          <w:u w:val="none"/>
          <w:lang w:val="en-US" w:eastAsia="zh-CN"/>
        </w:rPr>
      </w:pPr>
      <w:r>
        <w:rPr>
          <w:rFonts w:hint="default"/>
          <w:b w:val="0"/>
          <w:bCs w:val="0"/>
          <w:sz w:val="24"/>
          <w:szCs w:val="24"/>
          <w:u w:val="none"/>
          <w:lang w:val="en-US" w:eastAsia="zh-CN"/>
        </w:rPr>
        <w:t>依据《中华人民共和国民法典》、《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D08B8"/>
    <w:multiLevelType w:val="singleLevel"/>
    <w:tmpl w:val="AD7D08B8"/>
    <w:lvl w:ilvl="0" w:tentative="0">
      <w:start w:val="1"/>
      <w:numFmt w:val="chineseCounting"/>
      <w:suff w:val="nothing"/>
      <w:lvlText w:val="%1、"/>
      <w:lvlJc w:val="left"/>
      <w:rPr>
        <w:rFonts w:hint="eastAsia"/>
      </w:rPr>
    </w:lvl>
  </w:abstractNum>
  <w:abstractNum w:abstractNumId="1">
    <w:nsid w:val="D6B79244"/>
    <w:multiLevelType w:val="singleLevel"/>
    <w:tmpl w:val="D6B79244"/>
    <w:lvl w:ilvl="0" w:tentative="0">
      <w:start w:val="1"/>
      <w:numFmt w:val="chineseCounting"/>
      <w:suff w:val="nothing"/>
      <w:lvlText w:val="（%1）"/>
      <w:lvlJc w:val="left"/>
      <w:rPr>
        <w:rFonts w:hint="eastAsia"/>
      </w:rPr>
    </w:lvl>
  </w:abstractNum>
  <w:abstractNum w:abstractNumId="2">
    <w:nsid w:val="02400826"/>
    <w:multiLevelType w:val="singleLevel"/>
    <w:tmpl w:val="02400826"/>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ZDM4ODVjNmMyNzcyZWNjMDA2NDA3OWJkYjQ4MTgifQ=="/>
  </w:docVars>
  <w:rsids>
    <w:rsidRoot w:val="00000000"/>
    <w:rsid w:val="00425A1B"/>
    <w:rsid w:val="01322290"/>
    <w:rsid w:val="01486D3C"/>
    <w:rsid w:val="01CA5CC8"/>
    <w:rsid w:val="0332621A"/>
    <w:rsid w:val="033C49A3"/>
    <w:rsid w:val="05F000AA"/>
    <w:rsid w:val="0639166E"/>
    <w:rsid w:val="069E0FA4"/>
    <w:rsid w:val="06F817CC"/>
    <w:rsid w:val="08236132"/>
    <w:rsid w:val="095F3199"/>
    <w:rsid w:val="09891DD0"/>
    <w:rsid w:val="0AEB412B"/>
    <w:rsid w:val="0B0718D0"/>
    <w:rsid w:val="0B071938"/>
    <w:rsid w:val="0B1A381C"/>
    <w:rsid w:val="0CB10DFE"/>
    <w:rsid w:val="0D0B5B12"/>
    <w:rsid w:val="0D9A66B3"/>
    <w:rsid w:val="0FD03043"/>
    <w:rsid w:val="10B40097"/>
    <w:rsid w:val="12371157"/>
    <w:rsid w:val="12C0114D"/>
    <w:rsid w:val="12E12E71"/>
    <w:rsid w:val="14CF5677"/>
    <w:rsid w:val="15E55DF5"/>
    <w:rsid w:val="160C18C6"/>
    <w:rsid w:val="18720149"/>
    <w:rsid w:val="18784278"/>
    <w:rsid w:val="1A7A7E33"/>
    <w:rsid w:val="1ACA7C88"/>
    <w:rsid w:val="1B4D3695"/>
    <w:rsid w:val="1B9118D8"/>
    <w:rsid w:val="1C8454B4"/>
    <w:rsid w:val="1D631052"/>
    <w:rsid w:val="1F2B4EB6"/>
    <w:rsid w:val="1FDA1374"/>
    <w:rsid w:val="21555156"/>
    <w:rsid w:val="215F5FD5"/>
    <w:rsid w:val="218066B0"/>
    <w:rsid w:val="23EE7C78"/>
    <w:rsid w:val="241C5CED"/>
    <w:rsid w:val="24852176"/>
    <w:rsid w:val="248C1F8B"/>
    <w:rsid w:val="24BB1774"/>
    <w:rsid w:val="24DE36B4"/>
    <w:rsid w:val="257F1C31"/>
    <w:rsid w:val="25BC21A1"/>
    <w:rsid w:val="27F03715"/>
    <w:rsid w:val="28904CC6"/>
    <w:rsid w:val="28904F27"/>
    <w:rsid w:val="29220014"/>
    <w:rsid w:val="294C32E2"/>
    <w:rsid w:val="29A0531F"/>
    <w:rsid w:val="29A30A29"/>
    <w:rsid w:val="2A496FBA"/>
    <w:rsid w:val="2EA30D95"/>
    <w:rsid w:val="2F18024F"/>
    <w:rsid w:val="30D065A7"/>
    <w:rsid w:val="31724C89"/>
    <w:rsid w:val="31CA0622"/>
    <w:rsid w:val="32951856"/>
    <w:rsid w:val="330C3E38"/>
    <w:rsid w:val="33F07D03"/>
    <w:rsid w:val="33FE1579"/>
    <w:rsid w:val="34B77887"/>
    <w:rsid w:val="35661B9B"/>
    <w:rsid w:val="37DF17C6"/>
    <w:rsid w:val="381B27FE"/>
    <w:rsid w:val="388C0ED7"/>
    <w:rsid w:val="38B7004D"/>
    <w:rsid w:val="3AC94220"/>
    <w:rsid w:val="3C03437D"/>
    <w:rsid w:val="3C4128CA"/>
    <w:rsid w:val="3ED468D0"/>
    <w:rsid w:val="40D24966"/>
    <w:rsid w:val="41126768"/>
    <w:rsid w:val="413C1376"/>
    <w:rsid w:val="43EF61AC"/>
    <w:rsid w:val="440E2EFA"/>
    <w:rsid w:val="4517259F"/>
    <w:rsid w:val="457040D7"/>
    <w:rsid w:val="45CF4C28"/>
    <w:rsid w:val="45F823D0"/>
    <w:rsid w:val="461F1684"/>
    <w:rsid w:val="463D012B"/>
    <w:rsid w:val="46715CDF"/>
    <w:rsid w:val="4809107F"/>
    <w:rsid w:val="4BB328F5"/>
    <w:rsid w:val="4BF24816"/>
    <w:rsid w:val="4C23620E"/>
    <w:rsid w:val="4CEC0473"/>
    <w:rsid w:val="4D1A70D0"/>
    <w:rsid w:val="4E2875CB"/>
    <w:rsid w:val="4E474F54"/>
    <w:rsid w:val="4E5F5555"/>
    <w:rsid w:val="4EBE2DA1"/>
    <w:rsid w:val="4EC06342"/>
    <w:rsid w:val="4F6E1E3C"/>
    <w:rsid w:val="500D5971"/>
    <w:rsid w:val="50BF62B4"/>
    <w:rsid w:val="51522462"/>
    <w:rsid w:val="52214EB7"/>
    <w:rsid w:val="53581C37"/>
    <w:rsid w:val="53F776C0"/>
    <w:rsid w:val="543750FD"/>
    <w:rsid w:val="557F0EA4"/>
    <w:rsid w:val="56685AAA"/>
    <w:rsid w:val="581F1A3E"/>
    <w:rsid w:val="58996E12"/>
    <w:rsid w:val="594741E9"/>
    <w:rsid w:val="59C77C98"/>
    <w:rsid w:val="5A470DD9"/>
    <w:rsid w:val="5A76346C"/>
    <w:rsid w:val="5A9562BA"/>
    <w:rsid w:val="5B3475AF"/>
    <w:rsid w:val="5C7B2FBB"/>
    <w:rsid w:val="5F5A15AE"/>
    <w:rsid w:val="60DF7FBD"/>
    <w:rsid w:val="61714AF2"/>
    <w:rsid w:val="620A1884"/>
    <w:rsid w:val="646A5DEF"/>
    <w:rsid w:val="64EE7DD7"/>
    <w:rsid w:val="65614239"/>
    <w:rsid w:val="6589511C"/>
    <w:rsid w:val="6793565D"/>
    <w:rsid w:val="67CC0633"/>
    <w:rsid w:val="68545E47"/>
    <w:rsid w:val="69E0291C"/>
    <w:rsid w:val="69E81DB0"/>
    <w:rsid w:val="6AB57FE0"/>
    <w:rsid w:val="6BA240C1"/>
    <w:rsid w:val="6BFC1DAD"/>
    <w:rsid w:val="6CA34DD0"/>
    <w:rsid w:val="6CBC36AC"/>
    <w:rsid w:val="7080673E"/>
    <w:rsid w:val="70E17439"/>
    <w:rsid w:val="7107213A"/>
    <w:rsid w:val="727229E1"/>
    <w:rsid w:val="7315161C"/>
    <w:rsid w:val="73593BFF"/>
    <w:rsid w:val="744877CF"/>
    <w:rsid w:val="76CC44CA"/>
    <w:rsid w:val="77493F8A"/>
    <w:rsid w:val="77DB6976"/>
    <w:rsid w:val="78A05E2C"/>
    <w:rsid w:val="78FE73AF"/>
    <w:rsid w:val="79B37DE1"/>
    <w:rsid w:val="79C37417"/>
    <w:rsid w:val="79C45D45"/>
    <w:rsid w:val="7A1946A8"/>
    <w:rsid w:val="7ACF4419"/>
    <w:rsid w:val="7ADC4EC6"/>
    <w:rsid w:val="7BC06C5D"/>
    <w:rsid w:val="7C451EE2"/>
    <w:rsid w:val="7D2E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Times New Roman" w:hAnsi="Times New Roman"/>
      <w:szCs w:val="24"/>
    </w:rPr>
  </w:style>
  <w:style w:type="paragraph" w:styleId="4">
    <w:name w:val="caption"/>
    <w:basedOn w:val="1"/>
    <w:next w:val="1"/>
    <w:semiHidden/>
    <w:unhideWhenUsed/>
    <w:qFormat/>
    <w:uiPriority w:val="0"/>
    <w:rPr>
      <w:rFonts w:ascii="Arial" w:hAnsi="Arial" w:eastAsia="黑体"/>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2625</Words>
  <Characters>2697</Characters>
  <Lines>0</Lines>
  <Paragraphs>0</Paragraphs>
  <TotalTime>33</TotalTime>
  <ScaleCrop>false</ScaleCrop>
  <LinksUpToDate>false</LinksUpToDate>
  <CharactersWithSpaces>3374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dcterms:modified xsi:type="dcterms:W3CDTF">2024-09-11T02:39:35Z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40C708529DA84E7B907073A4ABED14A3_13</vt:lpwstr>
  </property>
</Properties>
</file>