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版本号：241017002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西安市伟业矿业开发有限公司石英岩矿生态修复项目</w:t>
      </w:r>
    </w:p>
    <w:p>
      <w:pPr>
        <w:pStyle w:val="null3"/>
        <w:jc w:val="center"/>
        <w:outlineLvl w:val="2"/>
      </w:pPr>
      <w:r>
        <w:rPr>
          <w:sz w:val="28"/>
          <w:b/>
        </w:rPr>
        <w:t>采购项目编号：</w:t>
      </w:r>
      <w:r>
        <w:rPr>
          <w:sz w:val="28"/>
          <w:b/>
        </w:rPr>
        <w:t>HXGJXM2024-ZC-CS1069</w:t>
      </w:r>
      <w:r>
        <w:br/>
      </w:r>
      <w:r>
        <w:br/>
      </w:r>
      <w:r>
        <w:br/>
      </w:r>
    </w:p>
    <w:p>
      <w:pPr>
        <w:pStyle w:val="null3"/>
        <w:jc w:val="center"/>
        <w:outlineLvl w:val="2"/>
      </w:pPr>
      <w:r>
        <w:rPr>
          <w:sz w:val="28"/>
          <w:b/>
        </w:rPr>
        <w:t>蓝田县自然资源和规划局</w:t>
      </w:r>
    </w:p>
    <w:p>
      <w:pPr>
        <w:pStyle w:val="null3"/>
        <w:jc w:val="center"/>
        <w:outlineLvl w:val="2"/>
      </w:pPr>
      <w:r>
        <w:rPr>
          <w:sz w:val="28"/>
          <w:b/>
        </w:rPr>
        <w:t>华夏国际项目管理有限公司</w:t>
      </w:r>
      <w:r>
        <w:rPr>
          <w:sz w:val="28"/>
          <w:b/>
        </w:rPr>
        <w:t>共同编制</w:t>
      </w:r>
    </w:p>
    <w:p>
      <w:pPr>
        <w:pStyle w:val="null3"/>
        <w:jc w:val="center"/>
        <w:outlineLvl w:val="2"/>
      </w:pPr>
      <w:r>
        <w:rPr>
          <w:sz w:val="28"/>
          <w:b/>
        </w:rPr>
        <w:t>2024年10月17日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华夏国际项目管理有限公司</w:t>
      </w:r>
      <w:r>
        <w:rPr/>
        <w:t>（以下简称“代理机构”）受</w:t>
      </w:r>
      <w:r>
        <w:rPr/>
        <w:t>蓝田县自然资源和规划局</w:t>
      </w:r>
      <w:r>
        <w:rPr/>
        <w:t>委托，拟对</w:t>
      </w:r>
      <w:r>
        <w:rPr/>
        <w:t>西安市伟业矿业开发有限公司石英岩矿生态修复项目</w:t>
      </w:r>
      <w:r>
        <w:rPr/>
        <w:t>采用竞争性磋商采购方式进行采购，兹邀请供应商参加本项目的竞争性磋商。</w:t>
      </w:r>
    </w:p>
    <w:p>
      <w:pPr>
        <w:pStyle w:val="null3"/>
        <w:outlineLvl w:val="2"/>
      </w:pPr>
      <w:r>
        <w:rPr>
          <w:sz w:val="28"/>
          <w:b/>
        </w:rPr>
        <w:t>一、采购项目编号：</w:t>
      </w:r>
      <w:r>
        <w:rPr>
          <w:sz w:val="28"/>
          <w:b/>
        </w:rPr>
        <w:t>HXGJXM2024-ZC-CS1069</w:t>
      </w:r>
    </w:p>
    <w:p>
      <w:pPr>
        <w:pStyle w:val="null3"/>
        <w:outlineLvl w:val="2"/>
      </w:pPr>
      <w:r>
        <w:rPr>
          <w:sz w:val="28"/>
          <w:b/>
        </w:rPr>
        <w:t>二、采购项目名称：</w:t>
      </w:r>
      <w:r>
        <w:rPr>
          <w:sz w:val="28"/>
          <w:b/>
        </w:rPr>
        <w:t>西安市伟业矿业开发有限公司石英岩矿生态修复项目</w:t>
      </w:r>
    </w:p>
    <w:p>
      <w:pPr>
        <w:pStyle w:val="null3"/>
        <w:outlineLvl w:val="2"/>
      </w:pPr>
      <w:r>
        <w:rPr>
          <w:sz w:val="28"/>
          <w:b/>
        </w:rPr>
        <w:t>三、磋商项目简介</w:t>
      </w:r>
    </w:p>
    <w:p>
      <w:pPr>
        <w:pStyle w:val="null3"/>
        <w:ind w:firstLine="480"/>
      </w:pPr>
      <w:r>
        <w:rPr/>
        <w:t>西安市伟业矿业开发有限公司石英岩矿生态修复项目，采购预算693800.00元。</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采购包1（西安市伟业矿业开发有限公司石英岩矿生态修复项目）：属于专门面向中小企业采购。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招标，须提供法定代表人身份证明）（注：被授权人需提供磋商截止日前一年内已缴存的至少一个月的社会保障资金凭证）</w:t>
      </w:r>
    </w:p>
    <w:p>
      <w:pPr>
        <w:pStyle w:val="null3"/>
      </w:pPr>
      <w:r>
        <w:rPr/>
        <w:t>2、单位资质：供应商须具有自然资源行政主管部门颁发的地质灾害治理工程乙级及以上（含乙级）施工资质，且具备有效的安全生产许可证；</w:t>
      </w:r>
    </w:p>
    <w:p>
      <w:pPr>
        <w:pStyle w:val="null3"/>
      </w:pPr>
      <w:r>
        <w:rPr/>
        <w:t>3、拟派项目负责人资质和专业要求：拟派项目经理须具备地质类相关专业中级及以上职称，且无在建工程、无不良记录（提供无在建工程、无不良记录承诺书）</w:t>
      </w:r>
    </w:p>
    <w:p>
      <w:pPr>
        <w:pStyle w:val="null3"/>
      </w:pPr>
      <w:r>
        <w:rPr/>
        <w:t>4、联合体投标：本项目不接受联合体磋商（提供书面声明材料）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蓝田县自然资源和规划局</w:t>
      </w:r>
    </w:p>
    <w:p>
      <w:pPr>
        <w:pStyle w:val="null3"/>
      </w:pPr>
      <w:r>
        <w:rPr/>
        <w:t xml:space="preserve"> 地址： </w:t>
      </w:r>
      <w:r>
        <w:rPr/>
        <w:t>蓝田县蓝新路7号</w:t>
      </w:r>
    </w:p>
    <w:p>
      <w:pPr>
        <w:pStyle w:val="null3"/>
      </w:pPr>
      <w:r>
        <w:rPr/>
        <w:t xml:space="preserve"> 邮编： </w:t>
      </w:r>
      <w:r>
        <w:rPr/>
        <w:t>710500</w:t>
      </w:r>
    </w:p>
    <w:p>
      <w:pPr>
        <w:pStyle w:val="null3"/>
      </w:pPr>
      <w:r>
        <w:rPr/>
        <w:t xml:space="preserve"> 联系人： </w:t>
      </w:r>
      <w:r>
        <w:rPr/>
        <w:t>赵云伟</w:t>
      </w:r>
    </w:p>
    <w:p>
      <w:pPr>
        <w:pStyle w:val="null3"/>
      </w:pPr>
      <w:r>
        <w:rPr/>
        <w:t xml:space="preserve"> 联系电话： </w:t>
      </w:r>
      <w:r>
        <w:rPr/>
        <w:t>029-82752838</w:t>
      </w:r>
    </w:p>
    <w:p>
      <w:pPr>
        <w:pStyle w:val="null3"/>
        <w:outlineLvl w:val="3"/>
      </w:pPr>
      <w:r>
        <w:rPr>
          <w:sz w:val="24"/>
          <w:b/>
        </w:rPr>
        <w:t>代理机构：</w:t>
      </w:r>
      <w:r>
        <w:rPr>
          <w:sz w:val="24"/>
          <w:b/>
        </w:rPr>
        <w:t>华夏国际项目管理有限公司</w:t>
      </w:r>
    </w:p>
    <w:p>
      <w:pPr>
        <w:pStyle w:val="null3"/>
      </w:pPr>
      <w:r>
        <w:rPr/>
        <w:t xml:space="preserve"> 地址： </w:t>
      </w:r>
      <w:r>
        <w:rPr/>
        <w:t>陕西省西安市莲湖区二环南路西段202号九座花园16层1605室</w:t>
      </w:r>
    </w:p>
    <w:p>
      <w:pPr>
        <w:pStyle w:val="null3"/>
      </w:pPr>
      <w:r>
        <w:rPr/>
        <w:t xml:space="preserve"> 邮编： </w:t>
      </w:r>
      <w:r>
        <w:rPr/>
        <w:t>710082</w:t>
      </w:r>
    </w:p>
    <w:p>
      <w:pPr>
        <w:pStyle w:val="null3"/>
      </w:pPr>
      <w:r>
        <w:rPr/>
        <w:t xml:space="preserve"> 联系人： </w:t>
      </w:r>
      <w:r>
        <w:rPr/>
        <w:t>郭梦、康敏茹、张艳萍、张宝育</w:t>
      </w:r>
    </w:p>
    <w:p>
      <w:pPr>
        <w:pStyle w:val="null3"/>
      </w:pPr>
      <w:r>
        <w:rPr/>
        <w:t xml:space="preserve"> 联系电话： </w:t>
      </w:r>
      <w:r>
        <w:rPr/>
        <w:t>029-88899970/72/73/75-809</w:t>
      </w:r>
    </w:p>
    <w:p>
      <w:pPr>
        <w:pStyle w:val="null3"/>
        <w:outlineLvl w:val="3"/>
      </w:pPr>
      <w:r>
        <w:rPr>
          <w:sz w:val="24"/>
          <w:b/>
        </w:rPr>
        <w:t>采购监督机构：</w:t>
      </w:r>
      <w:r>
        <w:rPr>
          <w:sz w:val="24"/>
          <w:b/>
        </w:rPr>
        <w:t>蓝田县政府采购管理股</w:t>
      </w:r>
    </w:p>
    <w:p>
      <w:pPr>
        <w:pStyle w:val="null3"/>
        <w:ind w:firstLine="480"/>
      </w:pPr>
      <w:r>
        <w:rPr/>
        <w:t>联系人：</w:t>
      </w:r>
      <w:r>
        <w:rPr/>
        <w:t>李小东</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采购包1：693,800.00元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代理服务费收费标准：定额收取10000.00元 户名：华夏国际项目管理有限公司 开户行：中国工商银行股份有限公司西安城南科技支行 账号：3700024819200130193</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蓝田县自然资源和规划局</w:t>
      </w:r>
      <w:r>
        <w:rPr/>
        <w:t>和</w:t>
      </w:r>
      <w:r>
        <w:rPr/>
        <w:t>华夏国际项目管理有限公司</w:t>
      </w:r>
      <w:r>
        <w:rPr/>
        <w:t>享有。对磋商文件中供应商参加本次政府采购活动应当具备的条件，磋商项目技术、服务、商务及其他要求，评审细则及标准由</w:t>
      </w:r>
      <w:r>
        <w:rPr/>
        <w:t>蓝田县自然资源和规划局</w:t>
      </w:r>
      <w:r>
        <w:rPr/>
        <w:t>负责解释。除上述磋商文件内容，其他内容由</w:t>
      </w:r>
      <w:r>
        <w:rPr/>
        <w:t>华夏国际项目管理有限公司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蓝田县自然资源和规划局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华夏国际项目管理有限公司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①合同、竞争性磋商文件、磋商响应文件及承诺。 ②国家相关标准、规范及有关技术文件。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华夏国际项目管理有限公司</w:t>
      </w:r>
      <w:r>
        <w:rPr/>
        <w:t xml:space="preserve"> 负责答复；供应商对采购过程的询问、质疑由</w:t>
      </w:r>
      <w:r>
        <w:rPr/>
        <w:t>华夏国际项目管理有限公司</w:t>
      </w:r>
      <w:r>
        <w:rPr/>
        <w:t xml:space="preserve"> 负责答复；供应商对采购结果的询问、质疑由 </w:t>
      </w:r>
      <w:r>
        <w:rPr/>
        <w:t>华夏国际项目管理有限公司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联系人：郭梦、康敏茹、张艳萍、张宝育</w:t>
      </w:r>
    </w:p>
    <w:p>
      <w:pPr>
        <w:pStyle w:val="null3"/>
      </w:pPr>
      <w:r>
        <w:rPr/>
        <w:t>联系电话：029-88899970/72/73/75-809</w:t>
      </w:r>
    </w:p>
    <w:p>
      <w:pPr>
        <w:pStyle w:val="null3"/>
      </w:pPr>
      <w:r>
        <w:rPr/>
        <w:t>地址：陕西省西安市莲湖区二环南路西段202号九座花园16层1605室</w:t>
      </w:r>
    </w:p>
    <w:p>
      <w:pPr>
        <w:pStyle w:val="null3"/>
      </w:pPr>
      <w:r>
        <w:rPr/>
        <w:t>邮编：710082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693,800.00</w:t>
      </w:r>
    </w:p>
    <w:p>
      <w:pPr>
        <w:pStyle w:val="null3"/>
      </w:pPr>
      <w:r>
        <w:rPr/>
        <w:t>采购包最高限价（元）: 693,800.00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693800</w:t>
            </w:r>
          </w:p>
        </w:tc>
        <w:tc>
          <w:tcPr>
            <w:tcW w:type="dxa" w:w="1384"/>
          </w:tcPr>
          <w:p>
            <w:pPr>
              <w:pStyle w:val="null3"/>
              <w:jc w:val="right"/>
            </w:pPr>
            <w:r>
              <w:rPr/>
              <w:t>1.00</w:t>
            </w:r>
          </w:p>
        </w:tc>
        <w:tc>
          <w:tcPr>
            <w:tcW w:type="dxa" w:w="1384"/>
          </w:tcPr>
          <w:p>
            <w:pPr>
              <w:pStyle w:val="null3"/>
              <w:jc w:val="right"/>
            </w:pPr>
            <w:r>
              <w:rPr/>
              <w:t>693,800.00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标的名称：693800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rPr>
              <w:t>工程概况</w:t>
            </w:r>
          </w:p>
          <w:p>
            <w:pPr>
              <w:pStyle w:val="null3"/>
              <w:ind w:firstLine="420"/>
              <w:jc w:val="left"/>
            </w:pPr>
            <w:r>
              <w:rPr/>
              <w:t>西安市伟业矿业开发有限公司石英岩矿位于蓝田县灞源镇秦谷村扬家沟口，中心地理坐标：东经 109°42′15.56″，北纬 34°8′7.70″，原采矿权人为西安市伟业矿业开发有限公司，原采矿许可证号：6101220610008，开采矿种为石英石，开采方式为露天开采，生产规模 15000 吨/年，矿区面积 0.24km²，于 2008 年 5 月开始采矿活动，2011 年政策性关闭。</w:t>
            </w:r>
          </w:p>
          <w:p>
            <w:pPr>
              <w:pStyle w:val="null3"/>
              <w:jc w:val="both"/>
            </w:pPr>
            <w:r>
              <w:rPr/>
              <w:t xml:space="preserve">    现状该矿区内遗留 1 处岩质开采面，3 处废渣堆，渣堆周边植被受采矿影响导致 局部植被覆盖率较低。其中，岩质开采面分布面积520m²，废渣堆总占地面积 1680m²， 渣堆周边植被发育不良地段面积 960m²，采矿影响破坏区域总面积 3160m²该矿区自政策性关闭至今，尚未进行人工修复治理，现状存在开采面裸露、废渣占压、损毁林地、草地等一系列问题，对地形地貌景观影响破坏程度较严重。除此之外，岩质开采面紧邻县道，过往人员及车辆较多，在暴雨、连阴雨及岩体风化等不利因素作用下，开采面易形成崩塌、掉块，对下方过往人员及车辆造成威胁，因此，针对该矿区拟采取人工修复治理模式，以修复地形地貌景观，消除地质灾害隐患，保障过往人员车辆生命财产安全。</w:t>
            </w:r>
          </w:p>
        </w:tc>
      </w:tr>
      <w:tr>
        <w:tc>
          <w:tcPr>
            <w:tcW w:type="dxa" w:w="2769"/>
          </w:tcPr>
          <w:p/>
        </w:tc>
        <w:tc>
          <w:tcPr>
            <w:tcW w:type="dxa" w:w="2769"/>
          </w:tcPr>
          <w:p>
            <w:pPr>
              <w:pStyle w:val="null3"/>
            </w:pPr>
            <w:r>
              <w:rPr/>
              <w:t>2</w:t>
            </w:r>
          </w:p>
        </w:tc>
        <w:tc>
          <w:tcPr>
            <w:tcW w:type="dxa" w:w="2769"/>
          </w:tcPr>
          <w:p>
            <w:pPr>
              <w:pStyle w:val="null3"/>
              <w:jc w:val="both"/>
            </w:pPr>
            <w:r>
              <w:rPr/>
              <w:t>工程内容</w:t>
            </w:r>
          </w:p>
          <w:p>
            <w:pPr>
              <w:pStyle w:val="null3"/>
              <w:jc w:val="both"/>
            </w:pPr>
            <w:r>
              <w:rPr/>
              <w:t>（1）消除不良地质隐患</w:t>
            </w:r>
          </w:p>
          <w:p>
            <w:pPr>
              <w:pStyle w:val="null3"/>
              <w:jc w:val="both"/>
            </w:pPr>
            <w:r>
              <w:rPr/>
              <w:t>对治理区地进行整治，通过场地整平、坡面危岩清理、修建挡墙、主动防护网等措施，结合必要的生物治理措施，提高区域废渣边坡及岩石边坡稳定性，减少水土流失。</w:t>
            </w:r>
          </w:p>
          <w:p>
            <w:pPr>
              <w:pStyle w:val="null3"/>
              <w:jc w:val="both"/>
            </w:pPr>
            <w:r>
              <w:rPr/>
              <w:t>（2）改善、恢复、增加土地资源</w:t>
            </w:r>
          </w:p>
          <w:p>
            <w:pPr>
              <w:pStyle w:val="null3"/>
              <w:jc w:val="both"/>
            </w:pPr>
            <w:r>
              <w:rPr/>
              <w:t>充分利用治理区内的采矿废弃用地，通过客土回覆、植树、植草等措施，恢复治理区被占压破坏土地的生态环境。</w:t>
            </w:r>
          </w:p>
          <w:p>
            <w:pPr>
              <w:pStyle w:val="null3"/>
              <w:jc w:val="both"/>
            </w:pPr>
            <w:r>
              <w:rPr/>
              <w:t>（3）美化环境，恢复青山绿水</w:t>
            </w:r>
          </w:p>
          <w:p>
            <w:pPr>
              <w:pStyle w:val="null3"/>
              <w:jc w:val="both"/>
            </w:pPr>
            <w:r>
              <w:rPr/>
              <w:t>选择适应性强、生长速度快、抗逆性强等植物对废弃矿山进行植被覆盖，增加废弃矿山植被覆盖率，缓解因水土流失造成对山地的污染，恢复区域生态系统，改善区域生态环境。</w:t>
            </w:r>
          </w:p>
        </w:tc>
      </w:tr>
      <w:tr>
        <w:tc>
          <w:tcPr>
            <w:tcW w:type="dxa" w:w="2769"/>
          </w:tcPr>
          <w:p/>
        </w:tc>
        <w:tc>
          <w:tcPr>
            <w:tcW w:type="dxa" w:w="2769"/>
          </w:tcPr>
          <w:p>
            <w:pPr>
              <w:pStyle w:val="null3"/>
            </w:pPr>
            <w:r>
              <w:rPr/>
              <w:t>3</w:t>
            </w:r>
          </w:p>
        </w:tc>
        <w:tc>
          <w:tcPr>
            <w:tcW w:type="dxa" w:w="2769"/>
          </w:tcPr>
          <w:p>
            <w:pPr>
              <w:pStyle w:val="null3"/>
              <w:jc w:val="both"/>
            </w:pPr>
            <w:r>
              <w:rPr/>
              <w:t xml:space="preserve"> 编制依据</w:t>
            </w:r>
          </w:p>
          <w:p>
            <w:pPr>
              <w:pStyle w:val="null3"/>
              <w:jc w:val="both"/>
            </w:pPr>
            <w:r>
              <w:rPr/>
              <w:t>（1）根据 2017 年【关于《陕西省水利工程设计概（估）算编制规定》、《陕西省水利建筑工程概算定额》等计价依据的批复】（陕发改投资［2017］1606 号）进行编制；</w:t>
            </w:r>
          </w:p>
          <w:p>
            <w:pPr>
              <w:pStyle w:val="null3"/>
              <w:jc w:val="both"/>
            </w:pPr>
            <w:r>
              <w:rPr/>
              <w:t>（2）《关于深化增值税改革有关政策的公告》（财政部 税务总局 海关总署公告 2019 年第39 号）；</w:t>
            </w:r>
          </w:p>
        </w:tc>
      </w:tr>
      <w:tr>
        <w:tc>
          <w:tcPr>
            <w:tcW w:type="dxa" w:w="2769"/>
          </w:tcPr>
          <w:p/>
        </w:tc>
        <w:tc>
          <w:tcPr>
            <w:tcW w:type="dxa" w:w="2769"/>
          </w:tcPr>
          <w:p>
            <w:pPr>
              <w:pStyle w:val="null3"/>
            </w:pPr>
            <w:r>
              <w:rPr/>
              <w:t>4</w:t>
            </w:r>
          </w:p>
        </w:tc>
        <w:tc>
          <w:tcPr>
            <w:tcW w:type="dxa" w:w="2769"/>
          </w:tcPr>
          <w:p>
            <w:pPr>
              <w:pStyle w:val="null3"/>
              <w:jc w:val="both"/>
            </w:pPr>
            <w:r>
              <w:rPr/>
              <w:t>工期：合同签订后6个月；</w:t>
            </w:r>
          </w:p>
          <w:p>
            <w:pPr>
              <w:pStyle w:val="null3"/>
              <w:jc w:val="both"/>
            </w:pPr>
            <w:r>
              <w:rPr/>
              <w:t>养护期：三年。</w:t>
            </w:r>
          </w:p>
        </w:tc>
      </w:tr>
      <w:tr>
        <w:tc>
          <w:tcPr>
            <w:tcW w:type="dxa" w:w="2769"/>
          </w:tcPr>
          <w:p/>
        </w:tc>
        <w:tc>
          <w:tcPr>
            <w:tcW w:type="dxa" w:w="2769"/>
          </w:tcPr>
          <w:p>
            <w:pPr>
              <w:pStyle w:val="null3"/>
            </w:pPr>
            <w:r>
              <w:rPr/>
              <w:t>5</w:t>
            </w:r>
          </w:p>
        </w:tc>
        <w:tc>
          <w:tcPr>
            <w:tcW w:type="dxa" w:w="2769"/>
          </w:tcPr>
          <w:p>
            <w:pPr>
              <w:pStyle w:val="null3"/>
              <w:jc w:val="both"/>
            </w:pPr>
            <w:r>
              <w:rPr/>
              <w:t>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256"/>
              <w:gridCol w:w="1085"/>
              <w:gridCol w:w="535"/>
              <w:gridCol w:w="411"/>
            </w:tblGrid>
            <w:tr>
              <w:tc>
                <w:tcPr>
                  <w:tcW w:type="dxa" w:w="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both"/>
                  </w:pPr>
                  <w:r>
                    <w:rPr/>
                    <w:t>编号</w:t>
                  </w:r>
                </w:p>
              </w:tc>
              <w:tc>
                <w:tcPr>
                  <w:tcW w:type="dxa" w:w="10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both"/>
                  </w:pPr>
                  <w:r>
                    <w:rPr/>
                    <w:t>工程或费用名称</w:t>
                  </w:r>
                </w:p>
              </w:tc>
              <w:tc>
                <w:tcPr>
                  <w:tcW w:type="dxa" w:w="53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50"/>
                    <w:jc w:val="both"/>
                  </w:pPr>
                  <w:r>
                    <w:rPr/>
                    <w:t>单位</w:t>
                  </w:r>
                </w:p>
              </w:tc>
              <w:tc>
                <w:tcPr>
                  <w:tcW w:type="dxa" w:w="4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jc w:val="center"/>
                  </w:pPr>
                  <w:r>
                    <w:rPr/>
                    <w:t>数量</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both"/>
                  </w:pPr>
                  <w:r>
                    <w:rPr/>
                    <w:t>场地整治</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土、石方工程</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1.1.1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石方人工开挖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t>248.4</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1.1.2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坡面浮渣人工清理</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t>882</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1.1.3</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客土外购（运距30km）</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t>426</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1.1.4</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墙后弃渣、客土回填压实</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t>1556.4</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1.1.5</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鱼鳞坑整地</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255"/>
                    <w:jc w:val="both"/>
                  </w:pPr>
                  <w:r>
                    <w:rPr/>
                    <w:t>个</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t>1022</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0"/>
                    <w:jc w:val="both"/>
                  </w:pPr>
                  <w:r>
                    <w:rPr/>
                    <w:t>浆砌石挡土墙（总长度115m）</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1.2.1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基槽开挖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right="15"/>
                    <w:jc w:val="center"/>
                  </w:pPr>
                  <w:r>
                    <w:rPr/>
                    <w:t>69</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5"/>
                    <w:jc w:val="both"/>
                  </w:pPr>
                  <w:r>
                    <w:rPr/>
                    <w:t>1.2.2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both"/>
                  </w:pPr>
                  <w:r>
                    <w:rPr/>
                    <w:t>M10浆砌块石</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jc w:val="center"/>
                  </w:pPr>
                  <w:r>
                    <w:rPr/>
                    <w:t>207</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both"/>
                  </w:pPr>
                  <w:r>
                    <w:rPr/>
                    <w:t>1.2.3</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反滤包</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m³</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2.57</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both"/>
                  </w:pPr>
                  <w:r>
                    <w:rPr/>
                    <w:t>1.2.4</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泄水管</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0"/>
                    <w:jc w:val="both"/>
                  </w:pPr>
                  <w:r>
                    <w:rPr/>
                    <w:t>m</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76.67</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both"/>
                  </w:pPr>
                  <w:r>
                    <w:rPr/>
                    <w:t>1.2.5</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both"/>
                  </w:pPr>
                  <w:r>
                    <w:rPr/>
                    <w:t>伸缩缝</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m²</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13.8</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both"/>
                  </w:pPr>
                  <w:r>
                    <w:rPr/>
                    <w:t>1.2.6</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5"/>
                    <w:jc w:val="both"/>
                  </w:pPr>
                  <w:r>
                    <w:rPr/>
                    <w:t>砂浆抹面</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m²</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249.09</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both"/>
                  </w:pPr>
                  <w:r>
                    <w:rPr/>
                    <w:t>1.3</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SNS主动防护网</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
                    <w:jc w:val="both"/>
                  </w:pPr>
                  <w:r>
                    <w:rPr/>
                    <w:t>1.3.1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主动防护网</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m²</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720</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绿化工程</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植树植草绿化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2.1.1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鱼鳞坑植白皮松绿化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both"/>
                  </w:pPr>
                  <w:r>
                    <w:rPr/>
                    <w:t>株</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1022</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2.1.2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坡脚植爬山虎绿化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both"/>
                  </w:pPr>
                  <w:r>
                    <w:rPr/>
                    <w:t>株</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72</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2.1.3</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坡顶植常春藤绿化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both"/>
                  </w:pPr>
                  <w:r>
                    <w:rPr/>
                    <w:t>株</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56</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2.1.4</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播撒草籽绿化</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95"/>
                    <w:jc w:val="both"/>
                  </w:pPr>
                  <w:r>
                    <w:rPr/>
                    <w:t>hm²</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0.26</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植被养护</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t xml:space="preserve"> </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t xml:space="preserve"> </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2.2.1</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植树养护</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55"/>
                    <w:jc w:val="both"/>
                  </w:pPr>
                  <w:r>
                    <w:rPr/>
                    <w:t>株</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1022</w:t>
                  </w:r>
                </w:p>
              </w:tc>
            </w:tr>
            <w:tr>
              <w:tc>
                <w:tcPr>
                  <w:tcW w:type="dxa" w:w="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0"/>
                    <w:jc w:val="both"/>
                  </w:pPr>
                  <w:r>
                    <w:rPr/>
                    <w:t>2.2.2</w:t>
                  </w:r>
                </w:p>
              </w:tc>
              <w:tc>
                <w:tcPr>
                  <w:tcW w:type="dxa" w:w="10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0"/>
                    <w:jc w:val="both"/>
                  </w:pPr>
                  <w:r>
                    <w:rPr/>
                    <w:t>植草养护</w:t>
                  </w:r>
                </w:p>
              </w:tc>
              <w:tc>
                <w:tcPr>
                  <w:tcW w:type="dxa" w:w="5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40"/>
                    <w:jc w:val="both"/>
                  </w:pPr>
                  <w:r>
                    <w:rPr/>
                    <w:t>m²</w:t>
                  </w:r>
                </w:p>
              </w:tc>
              <w:tc>
                <w:tcPr>
                  <w:tcW w:type="dxa" w:w="4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t>2578</w:t>
                  </w:r>
                </w:p>
              </w:tc>
            </w:tr>
          </w:tbl>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（1）合同签订后30日内，支付合同价款的50%；工程完工并验收合格后30日内，付至合同价款的90%；三年养护期结束后30日内，付至合同价款的100%。 （2）每次付款前中标单位须提供等额正规发票，最后一次付款时应提供剩余款项全额正规发票。</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 供应商是法人或其他组织的应提供营业执照等证明文件，供应商是自然人的应提供有效的自然人身份证明。(2)提供基本资格条件承诺函。（供应商应对承诺内容的真实性、合法性、有效性负责。经调查核实为虚假承诺的，视同为“提供虚假材料谋取成交”。） 供应商需在项目电子化交易系统中按要求填写或上传相应证明文件并进行电子签章。</w:t>
            </w:r>
          </w:p>
        </w:tc>
        <w:tc>
          <w:tcPr>
            <w:tcW w:type="dxa" w:w="1661"/>
          </w:tcPr>
          <w:p>
            <w:pPr>
              <w:pStyle w:val="null3"/>
            </w:pPr>
            <w:r>
              <w:rPr/>
              <w:t>资格审查资料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提供基本资格条件承诺函。（供应商应对承诺内容的真实性、合法性、有效性负责。经调查核实为虚假承诺的，视同为“提供虚假材料谋取成交”。）； 供应商需在项目电子化交易系统中按要求上传相应证明文件并进行电子签章。</w:t>
            </w:r>
          </w:p>
        </w:tc>
        <w:tc>
          <w:tcPr>
            <w:tcW w:type="dxa" w:w="1661"/>
          </w:tcPr>
          <w:p>
            <w:pPr>
              <w:pStyle w:val="null3"/>
            </w:pPr>
            <w:r>
              <w:rPr/>
              <w:t>资格审查资料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资格审查资料 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法定代表人授权书（附法定代表人、被授权人身份证复印件）（法定代表人直接参加招标，须提供法定代表人身份证明）（注：被授权人需提供磋商截止日前一年内已缴存的至少一个月的社会保障资金凭证）</w:t>
            </w:r>
          </w:p>
        </w:tc>
        <w:tc>
          <w:tcPr>
            <w:tcW w:type="dxa" w:w="1661"/>
          </w:tcPr>
          <w:p>
            <w:pPr>
              <w:pStyle w:val="null3"/>
            </w:pPr>
            <w:r>
              <w:rPr/>
              <w:t>资格审查资料 响应函</w:t>
            </w:r>
          </w:p>
        </w:tc>
      </w:tr>
      <w:tr>
        <w:tc>
          <w:tcPr>
            <w:tcW w:type="dxa" w:w="831"/>
          </w:tcPr>
          <w:p>
            <w:pPr>
              <w:pStyle w:val="null3"/>
            </w:pPr>
            <w:r>
              <w:rPr/>
              <w:t>2</w:t>
            </w:r>
          </w:p>
        </w:tc>
        <w:tc>
          <w:tcPr>
            <w:tcW w:type="dxa" w:w="2492"/>
          </w:tcPr>
          <w:p>
            <w:pPr>
              <w:pStyle w:val="null3"/>
            </w:pPr>
            <w:r>
              <w:rPr/>
              <w:t>单位资质</w:t>
            </w:r>
          </w:p>
        </w:tc>
        <w:tc>
          <w:tcPr>
            <w:tcW w:type="dxa" w:w="3322"/>
          </w:tcPr>
          <w:p>
            <w:pPr>
              <w:pStyle w:val="null3"/>
            </w:pPr>
            <w:r>
              <w:rPr/>
              <w:t>供应商须具有自然资源行政主管部门颁发的地质灾害治理工程乙级及以上（含乙级）施工资质，且具备有效的安全生产许可证；</w:t>
            </w:r>
          </w:p>
        </w:tc>
        <w:tc>
          <w:tcPr>
            <w:tcW w:type="dxa" w:w="1661"/>
          </w:tcPr>
          <w:p>
            <w:pPr>
              <w:pStyle w:val="null3"/>
            </w:pPr>
            <w:r>
              <w:rPr/>
              <w:t>资格审查资料</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拟派项目经理须具备地质类相关专业中级及以上职称，且无在建工程、无不良记录（提供无在建工程、无不良记录承诺书）</w:t>
            </w:r>
          </w:p>
        </w:tc>
        <w:tc>
          <w:tcPr>
            <w:tcW w:type="dxa" w:w="1661"/>
          </w:tcPr>
          <w:p>
            <w:pPr>
              <w:pStyle w:val="null3"/>
            </w:pPr>
            <w:r>
              <w:rPr/>
              <w:t>资格审查资料</w:t>
            </w:r>
          </w:p>
        </w:tc>
      </w:tr>
      <w:tr>
        <w:tc>
          <w:tcPr>
            <w:tcW w:type="dxa" w:w="831"/>
          </w:tcPr>
          <w:p>
            <w:pPr>
              <w:pStyle w:val="null3"/>
            </w:pPr>
            <w:r>
              <w:rPr/>
              <w:t>4</w:t>
            </w:r>
          </w:p>
        </w:tc>
        <w:tc>
          <w:tcPr>
            <w:tcW w:type="dxa" w:w="2492"/>
          </w:tcPr>
          <w:p>
            <w:pPr>
              <w:pStyle w:val="null3"/>
            </w:pPr>
            <w:r>
              <w:rPr/>
              <w:t>联合体投标</w:t>
            </w:r>
          </w:p>
        </w:tc>
        <w:tc>
          <w:tcPr>
            <w:tcW w:type="dxa" w:w="3322"/>
          </w:tcPr>
          <w:p>
            <w:pPr>
              <w:pStyle w:val="null3"/>
            </w:pPr>
            <w:r>
              <w:rPr/>
              <w:t>本项目不接受联合体磋商（提供书面声明材料）</w:t>
            </w:r>
          </w:p>
        </w:tc>
        <w:tc>
          <w:tcPr>
            <w:tcW w:type="dxa" w:w="1661"/>
          </w:tcPr>
          <w:p>
            <w:pPr>
              <w:pStyle w:val="null3"/>
            </w:pPr>
            <w:r>
              <w:rPr/>
              <w:t>资格审查资料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法定代表人或其授权代表人的签字齐全并加盖公章</w:t>
            </w:r>
          </w:p>
        </w:tc>
        <w:tc>
          <w:tcPr>
            <w:tcW w:type="dxa" w:w="1661"/>
          </w:tcPr>
          <w:p>
            <w:pPr>
              <w:pStyle w:val="null3"/>
            </w:pPr>
            <w:r>
              <w:rPr/>
              <w:t>资格审查资料 报价一览表 已标价工程量清单 中小企业声明函 技术标 承诺书 技术服务合同条款及其他商务要求应答表 强制优先采购产品承诺函 响应文件封面 其他可以证明供应商实力的文件 项目管理机构组成表 商务响应与说明 残疾人福利性单位声明函 报价函 标的清单 供应商类似项目业绩一览表 响应函 主要人员简历表 监狱企业的证明文件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资格审查资料 报价一览表 已标价工程量清单 中小企业声明函 技术标 承诺书 技术服务合同条款及其他商务要求应答表 强制优先采购产品承诺函 响应文件封面 其他可以证明供应商实力的文件 项目管理机构组成表 商务响应与说明 残疾人福利性单位声明函 报价函 标的清单 供应商类似项目业绩一览表 响应函 主要人员简历表 监狱企业的证明文件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按磋商文件要求报价，不得提交选择性报价，且每轮报价不超过采购预算金额或最高限价。</w:t>
            </w:r>
          </w:p>
        </w:tc>
        <w:tc>
          <w:tcPr>
            <w:tcW w:type="dxa" w:w="1661"/>
          </w:tcPr>
          <w:p>
            <w:pPr>
              <w:pStyle w:val="null3"/>
            </w:pPr>
            <w:r>
              <w:rPr/>
              <w:t>报价一览表 已标价工程量清单 报价函 标的清单</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商务响应与说明 技术服务合同条款及其他商务要求应答表 响应函</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应满足磋商文件中要求的工期</w:t>
            </w:r>
          </w:p>
        </w:tc>
        <w:tc>
          <w:tcPr>
            <w:tcW w:type="dxa" w:w="1661"/>
          </w:tcPr>
          <w:p>
            <w:pPr>
              <w:pStyle w:val="null3"/>
            </w:pPr>
            <w:r>
              <w:rPr/>
              <w:t>报价一览表 已标价工程量清单 商务响应与说明 报价函 标的清单 技术服务合同条款及其他商务要求应答表 响应函</w:t>
            </w:r>
          </w:p>
        </w:tc>
      </w:tr>
      <w:tr>
        <w:tc>
          <w:tcPr>
            <w:tcW w:type="dxa" w:w="831"/>
          </w:tcPr>
          <w:p>
            <w:pPr>
              <w:pStyle w:val="null3"/>
            </w:pPr>
            <w:r>
              <w:rPr/>
              <w:t>7</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资格审查资料 响应函</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不存在法律、法规和磋商文件规定的其他无效磋商情形</w:t>
            </w:r>
          </w:p>
        </w:tc>
        <w:tc>
          <w:tcPr>
            <w:tcW w:type="dxa" w:w="1661"/>
          </w:tcPr>
          <w:p>
            <w:pPr>
              <w:pStyle w:val="null3"/>
            </w:pPr>
            <w:r>
              <w:rPr/>
              <w:t>资格审查资料 报价一览表 已标价工程量清单 中小企业声明函 技术标 承诺书 技术服务合同条款及其他商务要求应答表 强制优先采购产品承诺函 响应文件封面 其他可以证明供应商实力的文件 项目管理机构组成表 商务响应与说明 残疾人福利性单位声明函 报价函 标的清单 供应商类似项目业绩一览表 响应函 主要人员简历表 监狱企业的证明文件</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1、实施方案非常详细并且完整可行、有针对性，完全满足项目实施的得12分；2、实施方案详细、完整，可行、有针对性，满足项目实施的得9分； 3、实施方案比较详细完整、可行，较利于项目实施的得6分； 4、实施方案基本可行，基本满足项目实施需要的得3分;5、未提供得0分。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安全作业管理</w:t>
            </w:r>
          </w:p>
        </w:tc>
        <w:tc>
          <w:tcPr>
            <w:tcW w:type="dxa" w:w="2492"/>
          </w:tcPr>
          <w:p>
            <w:pPr>
              <w:pStyle w:val="null3"/>
            </w:pPr>
            <w:r>
              <w:rPr/>
              <w:t>针对本项目提供的安全作业方案及安全配套措施进行综合评审。1、提供的安全作业方案及安全配套措施具体、详细，完全符合并优于采购人安全作业的要求，得10分；2、提供安全作业方案及安全配套措施较详细、较完整，符合采购人安全作业的要求，得7分；3、提供安全作业方案及安全配套措施基本合理可行，符合采购人安全作业的要求，得4分；4、提供的安全作业方案及安全配套措施简单，基本符合采购人安全作业的要求，得2分。5、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文明施工措施计划</w:t>
            </w:r>
          </w:p>
        </w:tc>
        <w:tc>
          <w:tcPr>
            <w:tcW w:type="dxa" w:w="2492"/>
          </w:tcPr>
          <w:p>
            <w:pPr>
              <w:pStyle w:val="null3"/>
            </w:pPr>
            <w:r>
              <w:rPr/>
              <w:t>针对本项目提供的文明施工措施计划进行综合评审。1、措施计划齐全、合理且切实可行，完全满足采购人需求得10分；2、措施计划较齐全、合理、切实可行，满足采购人需求得7分；3、措施计划较齐全、合理、基本可行，基本满足采购人需求得4分；4、措施计划基本完备齐全、合理性、可行性较差，得2分；5、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人员配备与管理方案</w:t>
            </w:r>
          </w:p>
        </w:tc>
        <w:tc>
          <w:tcPr>
            <w:tcW w:type="dxa" w:w="2492"/>
          </w:tcPr>
          <w:p>
            <w:pPr>
              <w:pStyle w:val="null3"/>
            </w:pPr>
            <w:r>
              <w:rPr/>
              <w:t>1、配备分工及配合协调措施（5分）：（1）配备分工合理，岗位间配合协调措施完善，得5分；（2）配备分工有一定合理性，岗位间配合协调措施较完善，得3分； （3）配备分工无针对性，岗位间协调配合措施简单笼统，得1分。未提供不得分。 2、专业技术能力及岗位职责（5分）：（1）人员专业技术能力强，岗位职责清晰，得5分；（2）人员有一定的专业技术能力，岗位职责较清晰，得3分；（3）人员专业技术能力欠缺，得1分。未提供不得分。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技术标</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机具设备和劳动力配置情况</w:t>
            </w:r>
          </w:p>
        </w:tc>
        <w:tc>
          <w:tcPr>
            <w:tcW w:type="dxa" w:w="2492"/>
          </w:tcPr>
          <w:p>
            <w:pPr>
              <w:pStyle w:val="null3"/>
            </w:pPr>
            <w:r>
              <w:rPr/>
              <w:t>针对本项目提供拟投入本项目主要机具、设备和劳动力配置情况。1、拟投入的机具设备数量充足，与项目匹配度高，劳动力配置合理，完全满足项目需要，得8分；2、拟投入的机具设备数量、与项目基本匹配，劳动力配置较合理，基本满足项目需要，得5分；3、拟投入的机具设备和劳动力配置简单，无针对性，得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风险预防及应急预案</w:t>
            </w:r>
          </w:p>
        </w:tc>
        <w:tc>
          <w:tcPr>
            <w:tcW w:type="dxa" w:w="2492"/>
          </w:tcPr>
          <w:p>
            <w:pPr>
              <w:pStyle w:val="null3"/>
            </w:pPr>
            <w:r>
              <w:rPr/>
              <w:t>针对本项目提供项目风险预测与防范，事故应急预案。1、风险预测与防范内容完善，针对性强，预案及措施科学合理可行性强，得8分；2、风险预测与防范内容较完善，预案及措施有一定针对性和可行性强，得5分；3、风险预测与防范内容、预案及措施内容简单笼统，无针对性，得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进度计划和工期目标</w:t>
            </w:r>
          </w:p>
        </w:tc>
        <w:tc>
          <w:tcPr>
            <w:tcW w:type="dxa" w:w="2492"/>
          </w:tcPr>
          <w:p>
            <w:pPr>
              <w:pStyle w:val="null3"/>
            </w:pPr>
            <w:r>
              <w:rPr/>
              <w:t>针对本项目提供的项目进度计划和工期目标，项目进度计划和工期目标科学、合理、可行，满足采购人需求。1、进度计划安排合理、措施有效，工期目标明确，满足采购人要求，得6分；2、进度计划安排较合理、措施较有效，工期目标基本清晰，基本满足采购人要求，得4分；3、进度计划和工期目标内容简单笼统，无针对性，得2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业绩</w:t>
            </w:r>
          </w:p>
        </w:tc>
        <w:tc>
          <w:tcPr>
            <w:tcW w:type="dxa" w:w="2492"/>
          </w:tcPr>
          <w:p>
            <w:pPr>
              <w:pStyle w:val="null3"/>
            </w:pPr>
            <w:r>
              <w:rPr/>
              <w:t>供应商2021年10月至截标时间前同类项目业绩；每提供1份计2分，最高得6分。业绩证明（以合同或中标通知书为准，须在响应文件中附以上证明材料的扫描件加盖单位公章，弄虚作假者，取消其成交资格。)</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技术标</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1、经初审合格的响应文件，其磋商报价为有效磋商报价。 2、有效最低报价为磋商基准价。 3、磋商报价按（磋商基准价/有效磋商报价）×30的公式计算其得分。 4、磋商报价不完整的，不进入磋商基准价的计算，本项得0分。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报价一览表</w:t>
            </w:r>
          </w:p>
          <w:p>
            <w:pPr>
              <w:pStyle w:val="null3"/>
            </w:pPr>
            <w:r>
              <w:rPr/>
              <w:t>已标价工程量清单</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详见附件：报价一览表</w:t>
      </w:r>
    </w:p>
    <w:p>
      <w:pPr>
        <w:pStyle w:val="null3"/>
        <w:ind w:firstLine="960"/>
      </w:pPr>
      <w:r>
        <w:rPr/>
        <w:t>详见附件：已标价工程量清单</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详见附件：商务响应与说明</w:t>
      </w:r>
    </w:p>
    <w:p>
      <w:pPr>
        <w:pStyle w:val="null3"/>
        <w:ind w:firstLine="960"/>
      </w:pPr>
      <w:r>
        <w:rPr/>
        <w:t>详见附件：技术标</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详见附件：资格审查资料</w:t>
      </w:r>
    </w:p>
    <w:p>
      <w:pPr>
        <w:pStyle w:val="null3"/>
        <w:ind w:firstLine="960"/>
      </w:pPr>
      <w:r>
        <w:rPr/>
        <w:t>详见附件：承诺书</w:t>
      </w:r>
    </w:p>
    <w:p>
      <w:pPr>
        <w:pStyle w:val="null3"/>
        <w:ind w:firstLine="960"/>
      </w:pPr>
      <w:r>
        <w:rPr/>
        <w:t>详见附件：其他可以证明供应商实力的文件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