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2023年第一批市级农业农村发展专项资金项目（粮食重大病虫害应急防治）</w:t>
      </w:r>
    </w:p>
    <w:p>
      <w:pPr>
        <w:pStyle w:val="null3"/>
        <w:jc w:val="center"/>
        <w:outlineLvl w:val="2"/>
      </w:pPr>
      <w:r>
        <w:rPr>
          <w:b/>
          <w:sz w:val="28"/>
        </w:rPr>
        <w:t>采购项目编号：</w:t>
      </w:r>
      <w:r>
        <w:rPr>
          <w:b/>
          <w:sz w:val="28"/>
        </w:rPr>
        <w:t>SDZC2024-007</w:t>
      </w:r>
      <w:r>
        <w:br/>
      </w:r>
      <w:r>
        <w:br/>
      </w:r>
      <w:r>
        <w:br/>
      </w:r>
    </w:p>
    <w:p>
      <w:pPr>
        <w:pStyle w:val="null3"/>
        <w:jc w:val="center"/>
        <w:outlineLvl w:val="2"/>
      </w:pPr>
      <w:r>
        <w:rPr>
          <w:b/>
          <w:sz w:val="28"/>
        </w:rPr>
        <w:t>西安市蓝田县农业技术推广中心</w:t>
      </w:r>
    </w:p>
    <w:p>
      <w:pPr>
        <w:pStyle w:val="null3"/>
        <w:jc w:val="center"/>
        <w:outlineLvl w:val="2"/>
      </w:pPr>
      <w:r>
        <w:rPr>
          <w:b/>
          <w:sz w:val="28"/>
        </w:rPr>
        <w:t>陕西上德招标有限公司</w:t>
      </w:r>
      <w:r>
        <w:rPr>
          <w:b/>
          <w:sz w:val="28"/>
        </w:rPr>
        <w:t>共同编制</w:t>
      </w:r>
    </w:p>
    <w:p>
      <w:pPr>
        <w:pStyle w:val="null3"/>
        <w:jc w:val="center"/>
        <w:outlineLvl w:val="2"/>
      </w:pPr>
      <w:r>
        <w:rPr>
          <w:b/>
          <w:sz w:val="28"/>
        </w:rPr>
        <w:t>2024年01月08日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陕西上德招标有限公司</w:t>
      </w:r>
      <w:r>
        <w:rPr/>
        <w:t>（以下简称“代理机构”）受</w:t>
      </w:r>
      <w:r>
        <w:rPr/>
        <w:t>西安市蓝田县农业技术推广中心</w:t>
      </w:r>
      <w:r>
        <w:rPr/>
        <w:t>委托，拟对</w:t>
      </w:r>
      <w:r>
        <w:rPr/>
        <w:t>2023年第一批市级农业农村发展专项资金项目（粮食重大病虫害应急防治）</w:t>
      </w:r>
      <w:r>
        <w:rPr/>
        <w:t>采用竞争性磋商采购方式进行采购，兹邀请供应商参加本项目的竞争性磋商。</w:t>
      </w:r>
    </w:p>
    <w:p>
      <w:pPr>
        <w:pStyle w:val="null3"/>
        <w:outlineLvl w:val="2"/>
      </w:pPr>
      <w:r>
        <w:rPr>
          <w:b/>
          <w:sz w:val="28"/>
        </w:rPr>
        <w:t>一、项目编号：</w:t>
      </w:r>
      <w:r>
        <w:rPr>
          <w:b/>
          <w:sz w:val="28"/>
        </w:rPr>
        <w:t>SDZC2024-007</w:t>
      </w:r>
    </w:p>
    <w:p>
      <w:pPr>
        <w:pStyle w:val="null3"/>
        <w:outlineLvl w:val="2"/>
      </w:pPr>
      <w:r>
        <w:rPr>
          <w:b/>
          <w:sz w:val="28"/>
        </w:rPr>
        <w:t>二、项目名称：</w:t>
      </w:r>
      <w:r>
        <w:rPr>
          <w:b/>
          <w:sz w:val="28"/>
        </w:rPr>
        <w:t>2023年第一批市级农业农村发展专项资金项目（粮食重大病虫害应急防治）</w:t>
      </w:r>
    </w:p>
    <w:p>
      <w:pPr>
        <w:pStyle w:val="null3"/>
        <w:outlineLvl w:val="2"/>
      </w:pPr>
      <w:r>
        <w:rPr>
          <w:b/>
          <w:sz w:val="28"/>
        </w:rPr>
        <w:t>三、磋商项目简介</w:t>
      </w:r>
    </w:p>
    <w:p>
      <w:pPr>
        <w:pStyle w:val="null3"/>
        <w:ind w:firstLine="480"/>
      </w:pPr>
      <w:r>
        <w:rPr/>
        <w:t>根据2024年小麦重大病虫害发生危害实际，利用植保无人机及药剂在粮食重大病虫害普发、重发区域适时开展应急统防统治2.15万亩，辐射带动联防联控、群防群治工作开展，及时有效遏制重大病虫害蔓延危害，确保粮食生产安全。含药剂及作业。</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采购包1（2023年第一批市级农业农村发展专项资金项目（粮食重大病虫害应急防治））：属于专门面向中小企业采购。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8、民用无人驾驶航空器经营许可证：民用无人驾驶航空器经营许可证。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且装订在每份竞争性磋商响应文件中）。</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且装订在每份竞争性磋商响应文件中）。</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西安市蓝田县农业技术推广中心</w:t>
      </w:r>
    </w:p>
    <w:p>
      <w:pPr>
        <w:pStyle w:val="null3"/>
      </w:pPr>
      <w:r>
        <w:rPr/>
        <w:t xml:space="preserve"> 地址： </w:t>
      </w:r>
      <w:r>
        <w:rPr/>
        <w:t>蓝田县北环路18号</w:t>
      </w:r>
    </w:p>
    <w:p>
      <w:pPr>
        <w:pStyle w:val="null3"/>
      </w:pPr>
      <w:r>
        <w:rPr/>
        <w:t xml:space="preserve"> 邮编： </w:t>
      </w:r>
      <w:r>
        <w:rPr/>
        <w:t>710500</w:t>
      </w:r>
    </w:p>
    <w:p>
      <w:pPr>
        <w:pStyle w:val="null3"/>
      </w:pPr>
      <w:r>
        <w:rPr/>
        <w:t xml:space="preserve"> 联系人： </w:t>
      </w:r>
      <w:r>
        <w:rPr/>
        <w:t>杨非</w:t>
      </w:r>
    </w:p>
    <w:p>
      <w:pPr>
        <w:pStyle w:val="null3"/>
      </w:pPr>
      <w:r>
        <w:rPr/>
        <w:t xml:space="preserve"> 联系电话： </w:t>
      </w:r>
      <w:r>
        <w:rPr/>
        <w:t>15229001951</w:t>
      </w:r>
    </w:p>
    <w:p>
      <w:pPr>
        <w:pStyle w:val="null3"/>
        <w:outlineLvl w:val="3"/>
      </w:pPr>
      <w:r>
        <w:rPr>
          <w:b/>
          <w:sz w:val="24"/>
        </w:rPr>
        <w:t>代理机构：</w:t>
      </w:r>
      <w:r>
        <w:rPr>
          <w:b/>
          <w:sz w:val="24"/>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宋芳芳（11号工位）</w:t>
      </w:r>
    </w:p>
    <w:p>
      <w:pPr>
        <w:pStyle w:val="null3"/>
      </w:pPr>
      <w:r>
        <w:rPr/>
        <w:t xml:space="preserve"> 联系电话： </w:t>
      </w:r>
      <w:r>
        <w:rPr/>
        <w:t>029-86673953、86518381转8011</w:t>
      </w:r>
    </w:p>
    <w:p>
      <w:pPr>
        <w:pStyle w:val="null3"/>
        <w:outlineLvl w:val="3"/>
      </w:pPr>
      <w:r>
        <w:rPr>
          <w:b/>
          <w:sz w:val="24"/>
        </w:rPr>
        <w:t>采购监督机构：</w:t>
      </w:r>
      <w:r>
        <w:rPr>
          <w:b/>
          <w:sz w:val="24"/>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西安市蓝田县农业技术推广中心</w:t>
      </w:r>
      <w:r>
        <w:rPr/>
        <w:t>和</w:t>
      </w:r>
      <w:r>
        <w:rPr/>
        <w:t>陕西上德招标有限公司</w:t>
      </w:r>
      <w:r>
        <w:rPr/>
        <w:t>享有。对磋商文件中供应商参加本次政府采购活动应当具备的条件，磋商项目技术、服务、商务及其他要求，评审细则及标准由</w:t>
      </w:r>
      <w:r>
        <w:rPr/>
        <w:t>西安市蓝田县农业技术推广中心</w:t>
      </w:r>
      <w:r>
        <w:rPr/>
        <w:t>负责解释。除上述磋商文件内容，其他内容由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西安市蓝田县农业技术推广中心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联系人：宋芳芳(11号工位)</w:t>
      </w:r>
    </w:p>
    <w:p>
      <w:pPr>
        <w:pStyle w:val="null3"/>
      </w:pPr>
      <w:r>
        <w:rPr/>
        <w:t>联系电话：86673953、86518381转8011</w:t>
      </w:r>
    </w:p>
    <w:p>
      <w:pPr>
        <w:pStyle w:val="null3"/>
      </w:pPr>
      <w:r>
        <w:rPr/>
        <w:t>地址：陕西上德招标有限公司（西安市经开区凤城八路正尚国际金融广场A座7层703（张家堡转盘东南角））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用于2024年小麦重大病虫害应急防治，开展粮食重大病虫害应急防治2.15万亩。</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430,000.00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2023年第一批市级农业农村发展专项资金项目（粮食重大病虫害应急防治）</w:t>
            </w:r>
          </w:p>
        </w:tc>
        <w:tc>
          <w:tcPr>
            <w:tcW w:type="dxa" w:w="831"/>
          </w:tcPr>
          <w:p>
            <w:pPr>
              <w:pStyle w:val="null3"/>
              <w:jc w:val="right"/>
            </w:pPr>
            <w:r>
              <w:rPr/>
              <w:t>1.00</w:t>
            </w:r>
          </w:p>
        </w:tc>
        <w:tc>
          <w:tcPr>
            <w:tcW w:type="dxa" w:w="831"/>
          </w:tcPr>
          <w:p>
            <w:pPr>
              <w:pStyle w:val="null3"/>
              <w:jc w:val="right"/>
            </w:pPr>
            <w:r>
              <w:rPr/>
              <w:t>430,000.00</w:t>
            </w:r>
          </w:p>
        </w:tc>
        <w:tc>
          <w:tcPr>
            <w:tcW w:type="dxa" w:w="831"/>
          </w:tcPr>
          <w:p>
            <w:pPr>
              <w:pStyle w:val="null3"/>
            </w:pPr>
            <w:r>
              <w:rPr/>
              <w:t>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标的名称：2023年第一批市级农业农村发展专项资金项目（粮食重大病虫害应急防治）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b/>
                <w:color w:val="000000"/>
              </w:rPr>
              <w:t>一、项目概况</w:t>
            </w:r>
          </w:p>
          <w:p>
            <w:pPr>
              <w:pStyle w:val="null3"/>
              <w:ind w:firstLine="480"/>
              <w:jc w:val="both"/>
            </w:pPr>
            <w:r>
              <w:rPr/>
              <w:t>通过实施粮食重大病虫害应急防治，使农作物重大病虫疫情监测预警准确率达85%以上，粮食重大病虫害防治处置率达90%以上，病虫危害损失率控制在5%以下，粮食作物专业化统防统治覆盖率达到43%，绿色防控覆盖率达到45%。</w:t>
            </w:r>
          </w:p>
          <w:p>
            <w:pPr>
              <w:pStyle w:val="null3"/>
              <w:jc w:val="both"/>
            </w:pPr>
            <w:r>
              <w:rPr>
                <w:b/>
                <w:color w:val="000000"/>
              </w:rPr>
              <w:t>二、</w:t>
            </w:r>
            <w:r>
              <w:rPr>
                <w:b/>
                <w:color w:val="000000"/>
              </w:rPr>
              <w:t>服务</w:t>
            </w:r>
            <w:r>
              <w:rPr>
                <w:b/>
                <w:color w:val="000000"/>
              </w:rPr>
              <w:t>内容</w:t>
            </w:r>
          </w:p>
          <w:p>
            <w:pPr>
              <w:pStyle w:val="null3"/>
              <w:jc w:val="both"/>
            </w:pPr>
            <w:r>
              <w:rPr/>
              <w:t>根据</w:t>
            </w:r>
            <w:r>
              <w:rPr>
                <w:color w:val="000000"/>
              </w:rPr>
              <w:t>2024年小麦</w:t>
            </w:r>
            <w:r>
              <w:rPr/>
              <w:t>重大病虫害发生危害实际，利用植保无人机及药剂在粮食重大病虫害普发、重发区域适时开展应急统防统治2.15万亩，辐射带动联防联控、群防群治工作开展，及时有效遏制重大病虫害蔓延危害，确保粮食生产安全。含药剂及作业。</w:t>
            </w:r>
          </w:p>
          <w:p>
            <w:pPr>
              <w:pStyle w:val="null3"/>
              <w:jc w:val="both"/>
            </w:pPr>
            <w:r>
              <w:rPr>
                <w:b/>
              </w:rPr>
              <w:t>三、数量</w:t>
            </w:r>
          </w:p>
          <w:p>
            <w:pPr>
              <w:pStyle w:val="null3"/>
              <w:ind w:firstLine="480"/>
              <w:jc w:val="both"/>
            </w:pPr>
            <w:r>
              <w:rPr>
                <w:color w:val="000000"/>
              </w:rPr>
              <w:t>用于2024年小麦重大病虫害应急防治</w:t>
            </w:r>
            <w:r>
              <w:rPr>
                <w:color w:val="000000"/>
              </w:rPr>
              <w:t>，</w:t>
            </w:r>
            <w:r>
              <w:rPr>
                <w:color w:val="000000"/>
              </w:rPr>
              <w:t>开展粮食重大病虫害应急防治2.15万亩。</w:t>
            </w:r>
          </w:p>
          <w:p>
            <w:pPr>
              <w:pStyle w:val="null3"/>
              <w:jc w:val="both"/>
            </w:pPr>
            <w:r>
              <w:rPr>
                <w:b/>
              </w:rPr>
              <w:t>四、用途说明：</w:t>
            </w:r>
          </w:p>
          <w:p>
            <w:pPr>
              <w:pStyle w:val="null3"/>
              <w:ind w:firstLine="480"/>
              <w:jc w:val="both"/>
            </w:pPr>
            <w:r>
              <w:rPr/>
              <w:t>根据</w:t>
            </w:r>
            <w:r>
              <w:rPr>
                <w:color w:val="000000"/>
              </w:rPr>
              <w:t>2024年小麦</w:t>
            </w:r>
            <w:r>
              <w:rPr/>
              <w:t>重大病虫害发生危害实际，利用植保无人机及药剂在粮食重大病虫害普发、重发区域适时开展应急统防统治2.15万亩，及时有效遏制重大病虫害蔓延危害，确保粮食生产安全。</w:t>
            </w:r>
          </w:p>
          <w:p>
            <w:pPr>
              <w:pStyle w:val="null3"/>
              <w:jc w:val="both"/>
            </w:pPr>
            <w:r>
              <w:rPr>
                <w:b/>
              </w:rPr>
              <w:t>五</w:t>
            </w:r>
            <w:r>
              <w:rPr>
                <w:b/>
                <w:color w:val="000000"/>
              </w:rPr>
              <w:t>、服务要求</w:t>
            </w:r>
          </w:p>
          <w:p>
            <w:pPr>
              <w:pStyle w:val="null3"/>
              <w:jc w:val="both"/>
            </w:pPr>
            <w:r>
              <w:rPr/>
              <w:t>1、乙方利用植保无人机对甲方指定的区域进行病虫害专业化统防统治作业。</w:t>
            </w:r>
          </w:p>
          <w:p>
            <w:pPr>
              <w:pStyle w:val="null3"/>
              <w:jc w:val="both"/>
            </w:pPr>
            <w:r>
              <w:rPr/>
              <w:t>2、乙方使用的药剂必须适宜航化作业，对作物、人员、环境安全。</w:t>
            </w:r>
          </w:p>
          <w:p>
            <w:pPr>
              <w:pStyle w:val="null3"/>
              <w:jc w:val="both"/>
            </w:pPr>
            <w:r>
              <w:rPr/>
              <w:t>3、防治作业中产生的其它费用由乙方承担。</w:t>
            </w:r>
          </w:p>
          <w:p>
            <w:pPr>
              <w:pStyle w:val="null3"/>
              <w:jc w:val="both"/>
            </w:pPr>
            <w:r>
              <w:rPr/>
              <w:t>4、作业期间，乙方务必邀请甲方对作业质量进行监督，确保防治效果。</w:t>
            </w:r>
          </w:p>
        </w:tc>
      </w:tr>
    </w:tbl>
    <w:p>
      <w:pPr>
        <w:pStyle w:val="null3"/>
        <w:outlineLvl w:val="2"/>
      </w:pPr>
      <w:r>
        <w:rPr>
          <w:b/>
          <w:sz w:val="28"/>
        </w:rPr>
        <w:t>3.2.3人员配置要求</w:t>
      </w:r>
    </w:p>
    <w:p>
      <w:pPr>
        <w:pStyle w:val="null3"/>
      </w:pPr>
      <w:r>
        <w:rPr/>
        <w:t>采购包1：</w:t>
      </w:r>
    </w:p>
    <w:p>
      <w:pPr>
        <w:pStyle w:val="null3"/>
      </w:pPr>
      <w:r>
        <w:rPr/>
        <w:t>按照项目实际情况进行配置</w:t>
      </w:r>
    </w:p>
    <w:p>
      <w:pPr>
        <w:pStyle w:val="null3"/>
        <w:outlineLvl w:val="2"/>
      </w:pPr>
      <w:r>
        <w:rPr>
          <w:b/>
          <w:sz w:val="28"/>
        </w:rPr>
        <w:t>3.2.4设施设备要求</w:t>
      </w:r>
    </w:p>
    <w:p>
      <w:pPr>
        <w:pStyle w:val="null3"/>
      </w:pPr>
      <w:r>
        <w:rPr/>
        <w:t>采购包1：</w:t>
      </w:r>
    </w:p>
    <w:p>
      <w:pPr>
        <w:pStyle w:val="null3"/>
      </w:pPr>
      <w:r>
        <w:rPr/>
        <w:t>按照项目实际情况进行配置</w:t>
      </w:r>
    </w:p>
    <w:p>
      <w:pPr>
        <w:pStyle w:val="null3"/>
        <w:outlineLvl w:val="2"/>
      </w:pPr>
      <w:r>
        <w:rPr>
          <w:b/>
          <w:sz w:val="28"/>
        </w:rPr>
        <w:t>3.2.5其他要求</w:t>
      </w:r>
    </w:p>
    <w:p>
      <w:pPr>
        <w:pStyle w:val="null3"/>
      </w:pPr>
      <w:r>
        <w:rPr/>
        <w:t>采购包1：</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2024年3-5月份，根据小麦重大病虫害实际发生危害情况，适时组织实施。（具体时间按甲方要求）</w:t>
      </w:r>
    </w:p>
    <w:p>
      <w:pPr>
        <w:pStyle w:val="null3"/>
        <w:outlineLvl w:val="3"/>
      </w:pPr>
      <w:r>
        <w:rPr>
          <w:b/>
          <w:sz w:val="24"/>
        </w:rPr>
        <w:t>3.3.2服务地点</w:t>
      </w:r>
    </w:p>
    <w:p>
      <w:pPr>
        <w:pStyle w:val="null3"/>
      </w:pPr>
      <w:r>
        <w:rPr/>
        <w:t>采购包1：</w:t>
      </w:r>
    </w:p>
    <w:p>
      <w:pPr>
        <w:pStyle w:val="null3"/>
      </w:pPr>
      <w:r>
        <w:rPr/>
        <w:t>蓝田县境内</w:t>
      </w:r>
    </w:p>
    <w:p>
      <w:pPr>
        <w:pStyle w:val="null3"/>
        <w:outlineLvl w:val="3"/>
      </w:pPr>
      <w:r>
        <w:rPr>
          <w:b/>
          <w:sz w:val="24"/>
        </w:rPr>
        <w:t>3.3.3考核（验收）标准和方法</w:t>
      </w:r>
    </w:p>
    <w:p>
      <w:pPr>
        <w:pStyle w:val="null3"/>
      </w:pPr>
      <w:r>
        <w:rPr/>
        <w:t>采购包1：</w:t>
      </w:r>
    </w:p>
    <w:p>
      <w:pPr>
        <w:pStyle w:val="null3"/>
      </w:pPr>
      <w:r>
        <w:rPr/>
        <w:t>满足国家、省市相关规范要求（以最新版为准）</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专项资金到位后，一次性支付全部费用</w:t>
      </w:r>
      <w:r>
        <w:rPr/>
        <w:t xml:space="preserve"> ，达到付款条件起 </w:t>
      </w:r>
      <w:r>
        <w:rPr/>
        <w:t>20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outlineLvl w:val="2"/>
      </w:pPr>
      <w:r>
        <w:rPr>
          <w:b/>
          <w:sz w:val="28"/>
        </w:rPr>
        <w:t>3.4其他要求</w:t>
      </w:r>
    </w:p>
    <w:p>
      <w:pPr>
        <w:pStyle w:val="null3"/>
      </w:pPr>
      <w:r>
        <w:rPr/>
        <w:t>中标人在领取中标通知书时提供一正两副纸质版文件。</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残疾人福利性单位声明函 中小企业声明函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民用无人驾驶航空器经营许可证</w:t>
            </w:r>
          </w:p>
        </w:tc>
        <w:tc>
          <w:tcPr>
            <w:tcW w:type="dxa" w:w="3322"/>
          </w:tcPr>
          <w:p>
            <w:pPr>
              <w:pStyle w:val="null3"/>
            </w:pPr>
            <w:r>
              <w:rPr/>
              <w:t>民用无人驾驶航空器经营许可证。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且装订在每份竞争性磋商响应文件中）。</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且装订在每份竞争性磋商响应文件中）。</w:t>
            </w:r>
          </w:p>
        </w:tc>
        <w:tc>
          <w:tcPr>
            <w:tcW w:type="dxa" w:w="1661"/>
          </w:tcPr>
          <w:p>
            <w:pPr>
              <w:pStyle w:val="null3"/>
            </w:pPr>
            <w:r>
              <w:rPr/>
              <w:t>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响应函</w:t>
            </w:r>
          </w:p>
        </w:tc>
      </w:tr>
      <w:tr>
        <w:tc>
          <w:tcPr>
            <w:tcW w:type="dxa" w:w="831"/>
          </w:tcPr>
          <w:p>
            <w:pPr>
              <w:pStyle w:val="null3"/>
            </w:pPr>
            <w:r>
              <w:rPr/>
              <w:t>2</w:t>
            </w:r>
          </w:p>
        </w:tc>
        <w:tc>
          <w:tcPr>
            <w:tcW w:type="dxa" w:w="2492"/>
          </w:tcPr>
          <w:p>
            <w:pPr>
              <w:pStyle w:val="null3"/>
            </w:pPr>
            <w:r>
              <w:rPr/>
              <w:t>供应商名称与登记领取磋商文件的单位名称不一致</w:t>
            </w:r>
          </w:p>
        </w:tc>
        <w:tc>
          <w:tcPr>
            <w:tcW w:type="dxa" w:w="3322"/>
          </w:tcPr>
          <w:p>
            <w:pPr>
              <w:pStyle w:val="null3"/>
            </w:pPr>
            <w:r>
              <w:rPr/>
              <w:t>供应商名称与登记领取磋商文件的单位名称不一致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磋商响应文件未按照磋商文件的要求盖章签字</w:t>
            </w:r>
          </w:p>
        </w:tc>
        <w:tc>
          <w:tcPr>
            <w:tcW w:type="dxa" w:w="3322"/>
          </w:tcPr>
          <w:p>
            <w:pPr>
              <w:pStyle w:val="null3"/>
            </w:pPr>
            <w:r>
              <w:rPr/>
              <w:t>磋商响应文件未按照磋商文件的要求盖章签字</w:t>
            </w:r>
          </w:p>
        </w:tc>
        <w:tc>
          <w:tcPr>
            <w:tcW w:type="dxa" w:w="1661"/>
          </w:tcPr>
          <w:p>
            <w:pPr>
              <w:pStyle w:val="null3"/>
            </w:pPr>
            <w:r>
              <w:rPr/>
              <w:t>服务条款响应偏离表 响应文件封面 供应商参与政府采购活动的承诺函 《拒绝政府采购领域商业贿赂承诺书》 响应函 法定代表人授权书 商务条款响应偏离表</w:t>
            </w:r>
          </w:p>
        </w:tc>
      </w:tr>
      <w:tr>
        <w:tc>
          <w:tcPr>
            <w:tcW w:type="dxa" w:w="831"/>
          </w:tcPr>
          <w:p>
            <w:pPr>
              <w:pStyle w:val="null3"/>
            </w:pPr>
            <w:r>
              <w:rPr/>
              <w:t>4</w:t>
            </w:r>
          </w:p>
        </w:tc>
        <w:tc>
          <w:tcPr>
            <w:tcW w:type="dxa" w:w="2492"/>
          </w:tcPr>
          <w:p>
            <w:pPr>
              <w:pStyle w:val="null3"/>
            </w:pPr>
            <w:r>
              <w:rPr/>
              <w:t>磋商报价超过采购预算</w:t>
            </w:r>
          </w:p>
        </w:tc>
        <w:tc>
          <w:tcPr>
            <w:tcW w:type="dxa" w:w="3322"/>
          </w:tcPr>
          <w:p>
            <w:pPr>
              <w:pStyle w:val="null3"/>
            </w:pPr>
            <w:r>
              <w:rPr/>
              <w:t>磋商报价超过采购预算</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磋商有效期不符合磋商文件的要求</w:t>
            </w:r>
          </w:p>
        </w:tc>
        <w:tc>
          <w:tcPr>
            <w:tcW w:type="dxa" w:w="3322"/>
          </w:tcPr>
          <w:p>
            <w:pPr>
              <w:pStyle w:val="null3"/>
            </w:pPr>
            <w:r>
              <w:rPr/>
              <w:t>磋商有效期不符合磋商文件的要求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对磋商文件商务要求未作出明确且实质性响应</w:t>
            </w:r>
          </w:p>
        </w:tc>
        <w:tc>
          <w:tcPr>
            <w:tcW w:type="dxa" w:w="3322"/>
          </w:tcPr>
          <w:p>
            <w:pPr>
              <w:pStyle w:val="null3"/>
            </w:pPr>
            <w:r>
              <w:rPr/>
              <w:t>对磋商文件商务要求未作出明确且实质性响应</w:t>
            </w:r>
          </w:p>
        </w:tc>
        <w:tc>
          <w:tcPr>
            <w:tcW w:type="dxa" w:w="1661"/>
          </w:tcPr>
          <w:p>
            <w:pPr>
              <w:pStyle w:val="null3"/>
            </w:pPr>
            <w:r>
              <w:rPr/>
              <w:t>服务条款响应偏离表 商务条款响应偏离表</w:t>
            </w:r>
          </w:p>
        </w:tc>
      </w:tr>
      <w:tr>
        <w:tc>
          <w:tcPr>
            <w:tcW w:type="dxa" w:w="831"/>
          </w:tcPr>
          <w:p>
            <w:pPr>
              <w:pStyle w:val="null3"/>
            </w:pPr>
            <w:r>
              <w:rPr/>
              <w:t>7</w:t>
            </w:r>
          </w:p>
        </w:tc>
        <w:tc>
          <w:tcPr>
            <w:tcW w:type="dxa" w:w="2492"/>
          </w:tcPr>
          <w:p>
            <w:pPr>
              <w:pStyle w:val="null3"/>
            </w:pPr>
            <w:r>
              <w:rPr/>
              <w:t>对磋商文件技术要求未作出明确响应，对不得偏离的要求是否作了实质性响应</w:t>
            </w:r>
          </w:p>
        </w:tc>
        <w:tc>
          <w:tcPr>
            <w:tcW w:type="dxa" w:w="3322"/>
          </w:tcPr>
          <w:p>
            <w:pPr>
              <w:pStyle w:val="null3"/>
            </w:pPr>
            <w:r>
              <w:rPr/>
              <w:t>对磋商文件技术要求未作出明确响应，对不得偏离的要求是否作了实质性响应</w:t>
            </w:r>
          </w:p>
        </w:tc>
        <w:tc>
          <w:tcPr>
            <w:tcW w:type="dxa" w:w="1661"/>
          </w:tcPr>
          <w:p>
            <w:pPr>
              <w:pStyle w:val="null3"/>
            </w:pPr>
            <w:r>
              <w:rPr/>
              <w:t>服务条款响应偏离表 商务条款响应偏离表</w:t>
            </w:r>
          </w:p>
        </w:tc>
      </w:tr>
      <w:tr>
        <w:tc>
          <w:tcPr>
            <w:tcW w:type="dxa" w:w="831"/>
          </w:tcPr>
          <w:p>
            <w:pPr>
              <w:pStyle w:val="null3"/>
            </w:pPr>
            <w:r>
              <w:rPr/>
              <w:t>8</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服务条款响应偏离表 响应文件封面 供应商认为有必要补充说明的事宜 商务条款响应偏离表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防治技术力量及人员组织配备情况1</w:t>
            </w:r>
          </w:p>
        </w:tc>
        <w:tc>
          <w:tcPr>
            <w:tcW w:type="dxa" w:w="2492"/>
          </w:tcPr>
          <w:p>
            <w:pPr>
              <w:pStyle w:val="null3"/>
            </w:pPr>
            <w:r>
              <w:rPr/>
              <w:t>具有5名省级植物保护机构技术培训合格的技术人员，防治机构必须是在陕西省农业植保部门备案的农作物病虫害专业化统防统治组织的计3分（提供培训合格证及备案凭证）。未提供的不计分。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防治技术力量及人员组织配备情况2</w:t>
            </w:r>
          </w:p>
        </w:tc>
        <w:tc>
          <w:tcPr>
            <w:tcW w:type="dxa" w:w="2492"/>
          </w:tcPr>
          <w:p>
            <w:pPr>
              <w:pStyle w:val="null3"/>
            </w:pPr>
            <w:r>
              <w:rPr/>
              <w:t>能提供病虫害防治的具体实施建议的，详细全面的计3.1-5分，实施建议内容宽泛、不明确的计0.1-3分，未提供相关内容的不计分。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防治技术力量及人员组织配备情况3</w:t>
            </w:r>
          </w:p>
        </w:tc>
        <w:tc>
          <w:tcPr>
            <w:tcW w:type="dxa" w:w="2492"/>
          </w:tcPr>
          <w:p>
            <w:pPr>
              <w:pStyle w:val="null3"/>
            </w:pPr>
            <w:r>
              <w:rPr/>
              <w:t>省级植物保护机构技术培训合格的技术人员（在5名的基础上）每增加1名加2分，总分10分。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防控药剂1</w:t>
            </w:r>
          </w:p>
        </w:tc>
        <w:tc>
          <w:tcPr>
            <w:tcW w:type="dxa" w:w="2492"/>
          </w:tcPr>
          <w:p>
            <w:pPr>
              <w:pStyle w:val="null3"/>
            </w:pPr>
            <w:r>
              <w:rPr/>
              <w:t>防控药剂必须是适宜航化作业的药剂，药剂选择符合本次招标要求，杀菌剂+杀虫剂+叶面肥或植物生长调节剂（提供药剂的相关质量、质量保证和使用证明材料），所选药剂符合国际、国家的标准和有关规定的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防控药剂2</w:t>
            </w:r>
          </w:p>
        </w:tc>
        <w:tc>
          <w:tcPr>
            <w:tcW w:type="dxa" w:w="2492"/>
          </w:tcPr>
          <w:p>
            <w:pPr>
              <w:pStyle w:val="null3"/>
            </w:pPr>
            <w:r>
              <w:rPr/>
              <w:t>药剂三证（农药登记证、农药生产许可证或农药生产批准文件、农药产品标准证）每提供一个得2分，使用航化助剂的增加 2 分，共8分。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服务方案1</w:t>
            </w:r>
          </w:p>
        </w:tc>
        <w:tc>
          <w:tcPr>
            <w:tcW w:type="dxa" w:w="2492"/>
          </w:tcPr>
          <w:p>
            <w:pPr>
              <w:pStyle w:val="null3"/>
            </w:pPr>
            <w:r>
              <w:rPr/>
              <w:t>服务方案具体详细、人员及设备安排合理等的计3.1-5分，缺项的计0.1-3分，未提供相关内容的不计分。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作业安全保障措施：确保人员、环境安全，合理化建议等。内容全面、时间安排合理，服务区域明确，重点任务明确、可行性强，根据响应情况，详细全面的计4.1-8分，缺项的计0.1-4分，未提供相关内容的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应急处置方案</w:t>
            </w:r>
          </w:p>
        </w:tc>
        <w:tc>
          <w:tcPr>
            <w:tcW w:type="dxa" w:w="2492"/>
          </w:tcPr>
          <w:p>
            <w:pPr>
              <w:pStyle w:val="null3"/>
            </w:pPr>
            <w:r>
              <w:rPr/>
              <w:t>方案总体思路清晰，工作重点突出、内容全面。应急和突发事件的处理措施方案全面、科学、合理、可行的计3.1-6分，缺项的计0.1-3分，未提供相关内容的不计分。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应急处置方案</w:t>
            </w:r>
          </w:p>
        </w:tc>
      </w:tr>
      <w:tr>
        <w:tc>
          <w:tcPr>
            <w:tcW w:type="dxa" w:w="831"/>
            <w:vMerge/>
          </w:tcPr>
          <w:p/>
        </w:tc>
        <w:tc>
          <w:tcPr>
            <w:tcW w:type="dxa" w:w="1661"/>
          </w:tcPr>
          <w:p>
            <w:pPr>
              <w:pStyle w:val="null3"/>
            </w:pPr>
            <w:r>
              <w:rPr/>
              <w:t>航化作业组织的规模、能力1</w:t>
            </w:r>
          </w:p>
        </w:tc>
        <w:tc>
          <w:tcPr>
            <w:tcW w:type="dxa" w:w="2492"/>
          </w:tcPr>
          <w:p>
            <w:pPr>
              <w:pStyle w:val="null3"/>
            </w:pPr>
            <w:r>
              <w:rPr/>
              <w:t>具备植保无人机系统操作手合格证的飞手不少于 8 名（以合格证为准），少一名人员扣 1分，共5分，5分扣完为止。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航化作业组织的规模、能力2</w:t>
            </w:r>
          </w:p>
        </w:tc>
        <w:tc>
          <w:tcPr>
            <w:tcW w:type="dxa" w:w="2492"/>
          </w:tcPr>
          <w:p>
            <w:pPr>
              <w:pStyle w:val="null3"/>
            </w:pPr>
            <w:r>
              <w:rPr/>
              <w:t>开展航化作业的无人机设备（载药量 30 公斤以上）不少于6架，（提供购机发票、付款凭证等）每少一架航化作业设备扣 1 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航化作业监管系统</w:t>
            </w:r>
          </w:p>
        </w:tc>
        <w:tc>
          <w:tcPr>
            <w:tcW w:type="dxa" w:w="2492"/>
          </w:tcPr>
          <w:p>
            <w:pPr>
              <w:pStyle w:val="null3"/>
            </w:pPr>
            <w:r>
              <w:rPr/>
              <w:t>能够给甲方提供航化作业监管系统，核查无人机作业的地点、时间、轨迹及面积等信息的计5分，不能提供的不计分。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航化作业监管系统</w:t>
            </w:r>
          </w:p>
        </w:tc>
      </w:tr>
      <w:tr>
        <w:tc>
          <w:tcPr>
            <w:tcW w:type="dxa" w:w="831"/>
            <w:vMerge/>
          </w:tcPr>
          <w:p/>
        </w:tc>
        <w:tc>
          <w:tcPr>
            <w:tcW w:type="dxa" w:w="1661"/>
          </w:tcPr>
          <w:p>
            <w:pPr>
              <w:pStyle w:val="null3"/>
            </w:pPr>
            <w:r>
              <w:rPr/>
              <w:t>作业质量服务承诺</w:t>
            </w:r>
          </w:p>
        </w:tc>
        <w:tc>
          <w:tcPr>
            <w:tcW w:type="dxa" w:w="2492"/>
          </w:tcPr>
          <w:p>
            <w:pPr>
              <w:pStyle w:val="null3"/>
            </w:pPr>
            <w:r>
              <w:rPr/>
              <w:t>具有完善的质量保证措施，逻辑性和可操作性强，防效不得低于85%，以2023年防控作业防效评估报告为准，每提供1个得1分，共3分。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作业质量服务承诺</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以合同形式提供供应商2022年1月至今同类项目业绩，一份计1分，共5分。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响应函</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详见附件：商务条款响应偏离表</w:t>
      </w:r>
    </w:p>
    <w:p>
      <w:pPr>
        <w:pStyle w:val="null3"/>
        <w:ind w:firstLine="960"/>
      </w:pPr>
      <w:r>
        <w:rPr/>
        <w:t>详见附件：服务条款响应偏离表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详见附件：防治技术力量及人员组织配备情况</w:t>
      </w:r>
    </w:p>
    <w:p>
      <w:pPr>
        <w:pStyle w:val="null3"/>
        <w:ind w:firstLine="960"/>
      </w:pPr>
      <w:r>
        <w:rPr/>
        <w:t>详见附件：防控药剂</w:t>
      </w:r>
    </w:p>
    <w:p>
      <w:pPr>
        <w:pStyle w:val="null3"/>
        <w:ind w:firstLine="960"/>
      </w:pPr>
      <w:r>
        <w:rPr/>
        <w:t>详见附件：服务方案</w:t>
      </w:r>
    </w:p>
    <w:p>
      <w:pPr>
        <w:pStyle w:val="null3"/>
        <w:ind w:firstLine="960"/>
      </w:pPr>
      <w:r>
        <w:rPr/>
        <w:t>详见附件：应急处置方案</w:t>
      </w:r>
    </w:p>
    <w:p>
      <w:pPr>
        <w:pStyle w:val="null3"/>
        <w:ind w:firstLine="960"/>
      </w:pPr>
      <w:r>
        <w:rPr/>
        <w:t>详见附件：航化作业组织的规模、能力</w:t>
      </w:r>
    </w:p>
    <w:p>
      <w:pPr>
        <w:pStyle w:val="null3"/>
        <w:ind w:firstLine="960"/>
      </w:pPr>
      <w:r>
        <w:rPr/>
        <w:t>详见附件：航化作业监管系统</w:t>
      </w:r>
    </w:p>
    <w:p>
      <w:pPr>
        <w:pStyle w:val="null3"/>
        <w:ind w:firstLine="960"/>
      </w:pPr>
      <w:r>
        <w:rPr/>
        <w:t>详见附件：作业质量服务承诺</w:t>
      </w:r>
    </w:p>
    <w:p>
      <w:pPr>
        <w:pStyle w:val="null3"/>
        <w:ind w:firstLine="960"/>
      </w:pPr>
      <w:r>
        <w:rPr/>
        <w:t>详见附件：业绩</w:t>
      </w:r>
    </w:p>
    <w:p>
      <w:pPr>
        <w:pStyle w:val="null3"/>
        <w:ind w:firstLine="960"/>
      </w:pPr>
      <w:r>
        <w:rPr/>
        <w:t>详见附件：供应商认为有必要补充说明的事宜</w:t>
      </w:r>
    </w:p>
    <w:p>
      <w:pPr>
        <w:pStyle w:val="null3"/>
        <w:ind w:firstLine="960"/>
      </w:pPr>
      <w:r>
        <w:rPr/>
        <w:t>详见附件：供应商参与政府采购活动的承诺函</w:t>
      </w:r>
    </w:p>
    <w:p>
      <w:pPr>
        <w:pStyle w:val="null3"/>
        <w:ind w:firstLine="960"/>
      </w:pPr>
      <w:r>
        <w:rPr/>
        <w:t>详见附件：《拒绝政府采购领域商业贿赂承诺书》</w:t>
      </w:r>
    </w:p>
    <w:p>
      <w:pPr>
        <w:pStyle w:val="null3"/>
        <w:ind w:firstLine="960"/>
      </w:pPr>
      <w:r>
        <w:rPr/>
        <w:t>详见附件：中小企业声明函</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