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5FF173">
      <w:pPr>
        <w:jc w:val="center"/>
        <w:rPr>
          <w:rFonts w:hint="eastAsia" w:ascii="宋体" w:hAnsi="宋体" w:cs="宋体" w:eastAsiaTheme="minorEastAsia"/>
          <w:b/>
          <w:color w:val="auto"/>
          <w:sz w:val="44"/>
          <w:szCs w:val="44"/>
          <w:highlight w:val="none"/>
          <w:lang w:eastAsia="zh-CN"/>
        </w:rPr>
      </w:pPr>
      <w:r>
        <w:rPr>
          <w:rFonts w:hint="eastAsia" w:ascii="宋体" w:hAnsi="宋体" w:cs="宋体"/>
          <w:b/>
          <w:color w:val="auto"/>
          <w:sz w:val="44"/>
          <w:szCs w:val="44"/>
          <w:highlight w:val="none"/>
          <w:lang w:val="en-US" w:eastAsia="zh-CN"/>
        </w:rPr>
        <w:t>分项报价</w:t>
      </w:r>
      <w:r>
        <w:rPr>
          <w:rFonts w:hint="eastAsia" w:ascii="宋体" w:hAnsi="宋体" w:cs="宋体"/>
          <w:b/>
          <w:color w:val="auto"/>
          <w:sz w:val="44"/>
          <w:szCs w:val="44"/>
          <w:highlight w:val="none"/>
        </w:rPr>
        <w:t>表</w:t>
      </w:r>
      <w:r>
        <w:rPr>
          <w:rFonts w:hint="eastAsia" w:ascii="宋体" w:hAnsi="宋体" w:cs="宋体"/>
          <w:b/>
          <w:color w:val="auto"/>
          <w:sz w:val="44"/>
          <w:szCs w:val="44"/>
          <w:highlight w:val="none"/>
          <w:lang w:eastAsia="zh-CN"/>
        </w:rPr>
        <w:t>（</w:t>
      </w:r>
      <w:r>
        <w:rPr>
          <w:rFonts w:hint="eastAsia" w:ascii="宋体" w:hAnsi="宋体" w:cs="宋体"/>
          <w:b/>
          <w:color w:val="auto"/>
          <w:sz w:val="44"/>
          <w:szCs w:val="44"/>
          <w:highlight w:val="none"/>
          <w:lang w:val="en-US" w:eastAsia="zh-CN"/>
        </w:rPr>
        <w:t>一次</w:t>
      </w:r>
      <w:r>
        <w:rPr>
          <w:rFonts w:hint="eastAsia" w:ascii="宋体" w:hAnsi="宋体" w:cs="宋体"/>
          <w:b/>
          <w:color w:val="auto"/>
          <w:sz w:val="44"/>
          <w:szCs w:val="44"/>
          <w:highlight w:val="none"/>
          <w:lang w:eastAsia="zh-CN"/>
        </w:rPr>
        <w:t>）</w:t>
      </w:r>
    </w:p>
    <w:p w14:paraId="4D809DDA">
      <w:pPr>
        <w:spacing w:line="560" w:lineRule="exact"/>
        <w:ind w:firstLine="640" w:firstLineChars="200"/>
        <w:jc w:val="right"/>
        <w:rPr>
          <w:rFonts w:ascii="仿宋" w:hAnsi="仿宋" w:eastAsia="仿宋"/>
          <w:sz w:val="32"/>
          <w:szCs w:val="32"/>
        </w:rPr>
      </w:pPr>
      <w:r>
        <w:rPr>
          <w:rFonts w:hint="eastAsia" w:ascii="仿宋" w:hAnsi="仿宋" w:eastAsia="仿宋"/>
          <w:sz w:val="32"/>
          <w:szCs w:val="32"/>
          <w:lang w:val="en-US" w:eastAsia="zh-CN"/>
        </w:rPr>
        <w:t xml:space="preserve">  </w:t>
      </w:r>
      <w:r>
        <w:rPr>
          <w:rFonts w:ascii="仿宋" w:hAnsi="仿宋" w:eastAsia="仿宋"/>
          <w:sz w:val="32"/>
          <w:szCs w:val="32"/>
        </w:rPr>
        <w:t>单位：元</w:t>
      </w:r>
    </w:p>
    <w:tbl>
      <w:tblPr>
        <w:tblStyle w:val="4"/>
        <w:tblW w:w="9441"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0" w:type="dxa"/>
          <w:bottom w:w="0" w:type="dxa"/>
          <w:right w:w="0" w:type="dxa"/>
        </w:tblCellMar>
      </w:tblPr>
      <w:tblGrid>
        <w:gridCol w:w="744"/>
        <w:gridCol w:w="1236"/>
        <w:gridCol w:w="1230"/>
        <w:gridCol w:w="2306"/>
        <w:gridCol w:w="2090"/>
        <w:gridCol w:w="1835"/>
      </w:tblGrid>
      <w:tr w14:paraId="077D94B7">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877" w:hRule="atLeast"/>
          <w:jc w:val="center"/>
        </w:trPr>
        <w:tc>
          <w:tcPr>
            <w:tcW w:w="9441" w:type="dxa"/>
            <w:gridSpan w:val="6"/>
            <w:shd w:val="clear" w:color="auto" w:fill="F1F1F1" w:themeFill="background1" w:themeFillShade="F2"/>
            <w:noWrap/>
            <w:tcMar>
              <w:top w:w="20" w:type="dxa"/>
              <w:left w:w="20" w:type="dxa"/>
              <w:bottom w:w="0" w:type="dxa"/>
              <w:right w:w="20" w:type="dxa"/>
            </w:tcMar>
            <w:vAlign w:val="center"/>
          </w:tcPr>
          <w:p w14:paraId="0DCCEF7A">
            <w:pPr>
              <w:jc w:val="center"/>
              <w:rPr>
                <w:rFonts w:hint="eastAsia" w:ascii="仿宋" w:hAnsi="仿宋" w:eastAsia="仿宋" w:cs="仿宋"/>
                <w:b/>
                <w:bCs/>
                <w:sz w:val="28"/>
                <w:szCs w:val="36"/>
              </w:rPr>
            </w:pPr>
            <w:r>
              <w:rPr>
                <w:rFonts w:hint="eastAsia" w:ascii="仿宋" w:hAnsi="仿宋" w:eastAsia="仿宋" w:cs="仿宋"/>
                <w:b/>
                <w:bCs/>
                <w:sz w:val="28"/>
                <w:szCs w:val="36"/>
              </w:rPr>
              <w:t>费用明细</w:t>
            </w:r>
          </w:p>
        </w:tc>
      </w:tr>
      <w:tr w14:paraId="432E49BA">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999" w:hRule="atLeast"/>
          <w:jc w:val="center"/>
        </w:trPr>
        <w:tc>
          <w:tcPr>
            <w:tcW w:w="744" w:type="dxa"/>
            <w:noWrap/>
            <w:tcMar>
              <w:top w:w="20" w:type="dxa"/>
              <w:left w:w="20" w:type="dxa"/>
              <w:bottom w:w="0" w:type="dxa"/>
              <w:right w:w="20" w:type="dxa"/>
            </w:tcMar>
            <w:vAlign w:val="center"/>
          </w:tcPr>
          <w:p w14:paraId="77E2BCC5">
            <w:pPr>
              <w:jc w:val="center"/>
              <w:rPr>
                <w:rFonts w:hint="eastAsia" w:ascii="仿宋" w:hAnsi="仿宋" w:eastAsia="仿宋" w:cs="仿宋"/>
                <w:b/>
                <w:bCs/>
                <w:sz w:val="28"/>
                <w:szCs w:val="36"/>
              </w:rPr>
            </w:pPr>
            <w:r>
              <w:rPr>
                <w:rFonts w:hint="eastAsia" w:ascii="仿宋" w:hAnsi="仿宋" w:eastAsia="仿宋" w:cs="仿宋"/>
                <w:b/>
                <w:bCs/>
                <w:sz w:val="28"/>
                <w:szCs w:val="36"/>
              </w:rPr>
              <w:t>序号</w:t>
            </w:r>
          </w:p>
        </w:tc>
        <w:tc>
          <w:tcPr>
            <w:tcW w:w="1236" w:type="dxa"/>
            <w:noWrap/>
            <w:tcMar>
              <w:top w:w="20" w:type="dxa"/>
              <w:left w:w="20" w:type="dxa"/>
              <w:bottom w:w="0" w:type="dxa"/>
              <w:right w:w="20" w:type="dxa"/>
            </w:tcMar>
            <w:vAlign w:val="center"/>
          </w:tcPr>
          <w:p w14:paraId="19C43C17">
            <w:pPr>
              <w:jc w:val="center"/>
              <w:rPr>
                <w:rFonts w:hint="eastAsia" w:ascii="仿宋" w:hAnsi="仿宋" w:eastAsia="仿宋" w:cs="仿宋"/>
                <w:b/>
                <w:bCs/>
                <w:sz w:val="28"/>
                <w:szCs w:val="36"/>
              </w:rPr>
            </w:pPr>
            <w:r>
              <w:rPr>
                <w:rFonts w:hint="eastAsia" w:ascii="仿宋" w:hAnsi="仿宋" w:eastAsia="仿宋" w:cs="仿宋"/>
                <w:b/>
                <w:bCs/>
                <w:sz w:val="28"/>
                <w:szCs w:val="36"/>
              </w:rPr>
              <w:t>费用名称</w:t>
            </w:r>
          </w:p>
        </w:tc>
        <w:tc>
          <w:tcPr>
            <w:tcW w:w="1230" w:type="dxa"/>
            <w:tcBorders>
              <w:right w:val="single" w:color="auto" w:sz="4" w:space="0"/>
            </w:tcBorders>
            <w:noWrap/>
            <w:tcMar>
              <w:top w:w="20" w:type="dxa"/>
              <w:left w:w="20" w:type="dxa"/>
              <w:bottom w:w="0" w:type="dxa"/>
              <w:right w:w="20" w:type="dxa"/>
            </w:tcMar>
            <w:vAlign w:val="center"/>
          </w:tcPr>
          <w:p w14:paraId="7259829B">
            <w:pPr>
              <w:jc w:val="center"/>
              <w:rPr>
                <w:rFonts w:hint="default" w:ascii="仿宋" w:hAnsi="仿宋" w:eastAsia="仿宋" w:cs="仿宋"/>
                <w:b/>
                <w:bCs/>
                <w:sz w:val="28"/>
                <w:szCs w:val="36"/>
                <w:lang w:val="en-US" w:eastAsia="zh-CN"/>
              </w:rPr>
            </w:pPr>
            <w:r>
              <w:rPr>
                <w:rFonts w:hint="eastAsia" w:ascii="仿宋" w:hAnsi="仿宋" w:eastAsia="仿宋" w:cs="仿宋"/>
                <w:b/>
                <w:bCs/>
                <w:sz w:val="28"/>
                <w:szCs w:val="36"/>
                <w:lang w:val="en-US" w:eastAsia="zh-CN"/>
              </w:rPr>
              <w:t>工程量</w:t>
            </w:r>
          </w:p>
        </w:tc>
        <w:tc>
          <w:tcPr>
            <w:tcW w:w="2306" w:type="dxa"/>
            <w:tcBorders>
              <w:left w:val="single" w:color="auto" w:sz="4" w:space="0"/>
            </w:tcBorders>
            <w:noWrap/>
            <w:tcMar>
              <w:top w:w="20" w:type="dxa"/>
              <w:left w:w="20" w:type="dxa"/>
              <w:bottom w:w="0" w:type="dxa"/>
              <w:right w:w="20" w:type="dxa"/>
            </w:tcMar>
            <w:vAlign w:val="center"/>
          </w:tcPr>
          <w:p w14:paraId="4BE7FFF9">
            <w:pPr>
              <w:jc w:val="center"/>
              <w:rPr>
                <w:rFonts w:hint="eastAsia" w:ascii="仿宋" w:hAnsi="仿宋" w:eastAsia="仿宋" w:cs="仿宋"/>
                <w:b/>
                <w:bCs/>
                <w:sz w:val="28"/>
                <w:szCs w:val="36"/>
              </w:rPr>
            </w:pPr>
            <w:r>
              <w:rPr>
                <w:rFonts w:hint="eastAsia" w:ascii="仿宋" w:hAnsi="仿宋" w:eastAsia="仿宋" w:cs="仿宋"/>
                <w:b/>
                <w:bCs/>
                <w:sz w:val="28"/>
                <w:szCs w:val="36"/>
              </w:rPr>
              <w:t>最高含税完全综合单价限价</w:t>
            </w:r>
          </w:p>
        </w:tc>
        <w:tc>
          <w:tcPr>
            <w:tcW w:w="2090" w:type="dxa"/>
            <w:noWrap/>
            <w:tcMar>
              <w:top w:w="20" w:type="dxa"/>
              <w:left w:w="20" w:type="dxa"/>
              <w:bottom w:w="0" w:type="dxa"/>
              <w:right w:w="20" w:type="dxa"/>
            </w:tcMar>
            <w:vAlign w:val="center"/>
          </w:tcPr>
          <w:p w14:paraId="1DA4859B">
            <w:pPr>
              <w:jc w:val="center"/>
              <w:rPr>
                <w:rFonts w:hint="eastAsia" w:ascii="仿宋" w:hAnsi="仿宋" w:eastAsia="仿宋" w:cs="仿宋"/>
                <w:b/>
                <w:bCs/>
                <w:sz w:val="28"/>
                <w:szCs w:val="36"/>
              </w:rPr>
            </w:pPr>
            <w:r>
              <w:rPr>
                <w:rFonts w:hint="eastAsia" w:ascii="仿宋" w:hAnsi="仿宋" w:eastAsia="仿宋" w:cs="仿宋"/>
                <w:b/>
                <w:bCs/>
                <w:sz w:val="28"/>
                <w:szCs w:val="36"/>
                <w:lang w:val="en-US" w:eastAsia="zh-CN"/>
              </w:rPr>
              <w:t>综合单价（元/m）</w:t>
            </w:r>
          </w:p>
        </w:tc>
        <w:tc>
          <w:tcPr>
            <w:tcW w:w="1835" w:type="dxa"/>
            <w:noWrap/>
            <w:tcMar>
              <w:top w:w="20" w:type="dxa"/>
              <w:left w:w="20" w:type="dxa"/>
              <w:bottom w:w="0" w:type="dxa"/>
              <w:right w:w="20" w:type="dxa"/>
            </w:tcMar>
            <w:vAlign w:val="center"/>
          </w:tcPr>
          <w:p w14:paraId="7819C4BA">
            <w:pPr>
              <w:jc w:val="center"/>
              <w:rPr>
                <w:rFonts w:hint="default" w:ascii="仿宋" w:hAnsi="仿宋" w:eastAsia="仿宋" w:cs="仿宋"/>
                <w:b/>
                <w:bCs/>
                <w:sz w:val="28"/>
                <w:szCs w:val="36"/>
                <w:lang w:val="en-US" w:eastAsia="zh-CN"/>
              </w:rPr>
            </w:pPr>
            <w:r>
              <w:rPr>
                <w:rFonts w:hint="eastAsia" w:ascii="仿宋" w:hAnsi="仿宋" w:eastAsia="仿宋" w:cs="仿宋"/>
                <w:b/>
                <w:bCs/>
                <w:sz w:val="28"/>
                <w:szCs w:val="36"/>
                <w:lang w:val="en-US" w:eastAsia="zh-CN"/>
              </w:rPr>
              <w:t>磋商总报价（元）</w:t>
            </w:r>
          </w:p>
        </w:tc>
      </w:tr>
      <w:tr w14:paraId="6884CD80">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1186" w:hRule="atLeast"/>
          <w:jc w:val="center"/>
        </w:trPr>
        <w:tc>
          <w:tcPr>
            <w:tcW w:w="744" w:type="dxa"/>
            <w:noWrap/>
            <w:tcMar>
              <w:top w:w="20" w:type="dxa"/>
              <w:left w:w="20" w:type="dxa"/>
              <w:bottom w:w="0" w:type="dxa"/>
              <w:right w:w="20" w:type="dxa"/>
            </w:tcMar>
            <w:vAlign w:val="center"/>
          </w:tcPr>
          <w:p w14:paraId="0C8DF360">
            <w:pPr>
              <w:jc w:val="center"/>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1</w:t>
            </w:r>
          </w:p>
        </w:tc>
        <w:tc>
          <w:tcPr>
            <w:tcW w:w="1236" w:type="dxa"/>
            <w:noWrap/>
            <w:tcMar>
              <w:top w:w="20" w:type="dxa"/>
              <w:left w:w="20" w:type="dxa"/>
              <w:bottom w:w="0" w:type="dxa"/>
              <w:right w:w="20" w:type="dxa"/>
            </w:tcMar>
            <w:vAlign w:val="center"/>
          </w:tcPr>
          <w:p w14:paraId="360A226C">
            <w:pPr>
              <w:jc w:val="center"/>
              <w:rPr>
                <w:rFonts w:hint="default" w:ascii="仿宋" w:hAnsi="仿宋" w:eastAsia="仿宋" w:cs="仿宋"/>
                <w:sz w:val="28"/>
                <w:szCs w:val="36"/>
                <w:lang w:val="en-US" w:eastAsia="zh-CN"/>
              </w:rPr>
            </w:pPr>
            <w:r>
              <w:rPr>
                <w:rFonts w:hint="eastAsia" w:ascii="仿宋" w:hAnsi="仿宋" w:eastAsia="仿宋" w:cs="仿宋"/>
                <w:sz w:val="28"/>
                <w:szCs w:val="36"/>
                <w:lang w:val="en-US" w:eastAsia="zh-CN"/>
              </w:rPr>
              <w:t>围墙圈建</w:t>
            </w:r>
          </w:p>
        </w:tc>
        <w:tc>
          <w:tcPr>
            <w:tcW w:w="1230" w:type="dxa"/>
            <w:tcBorders>
              <w:right w:val="single" w:color="auto" w:sz="4" w:space="0"/>
            </w:tcBorders>
            <w:noWrap/>
            <w:tcMar>
              <w:top w:w="20" w:type="dxa"/>
              <w:left w:w="20" w:type="dxa"/>
              <w:bottom w:w="0" w:type="dxa"/>
              <w:right w:w="20" w:type="dxa"/>
            </w:tcMar>
            <w:vAlign w:val="center"/>
          </w:tcPr>
          <w:p w14:paraId="53CDDBFC">
            <w:pPr>
              <w:jc w:val="center"/>
              <w:rPr>
                <w:rFonts w:hint="default" w:ascii="仿宋" w:hAnsi="仿宋" w:eastAsia="仿宋" w:cs="仿宋"/>
                <w:sz w:val="28"/>
                <w:szCs w:val="36"/>
                <w:lang w:val="en-US" w:eastAsia="zh-CN"/>
              </w:rPr>
            </w:pPr>
            <w:r>
              <w:rPr>
                <w:rFonts w:hint="eastAsia" w:ascii="仿宋" w:hAnsi="仿宋" w:eastAsia="仿宋" w:cs="仿宋"/>
                <w:sz w:val="28"/>
                <w:szCs w:val="36"/>
                <w:lang w:val="en-US" w:eastAsia="zh-CN"/>
              </w:rPr>
              <w:t>1431m</w:t>
            </w:r>
          </w:p>
        </w:tc>
        <w:tc>
          <w:tcPr>
            <w:tcW w:w="2306" w:type="dxa"/>
            <w:tcBorders>
              <w:left w:val="single" w:color="auto" w:sz="4" w:space="0"/>
            </w:tcBorders>
            <w:noWrap/>
            <w:tcMar>
              <w:top w:w="20" w:type="dxa"/>
              <w:left w:w="20" w:type="dxa"/>
              <w:bottom w:w="0" w:type="dxa"/>
              <w:right w:w="20" w:type="dxa"/>
            </w:tcMar>
            <w:vAlign w:val="center"/>
          </w:tcPr>
          <w:p w14:paraId="6E97D34A">
            <w:pPr>
              <w:jc w:val="center"/>
              <w:rPr>
                <w:rFonts w:hint="eastAsia" w:ascii="仿宋" w:hAnsi="仿宋" w:eastAsia="仿宋" w:cs="仿宋"/>
                <w:sz w:val="28"/>
                <w:szCs w:val="36"/>
              </w:rPr>
            </w:pPr>
            <w:r>
              <w:rPr>
                <w:rFonts w:hint="eastAsia" w:ascii="仿宋" w:hAnsi="仿宋" w:eastAsia="仿宋" w:cs="仿宋"/>
                <w:sz w:val="28"/>
                <w:szCs w:val="36"/>
              </w:rPr>
              <w:t>684.72元/m</w:t>
            </w:r>
          </w:p>
        </w:tc>
        <w:tc>
          <w:tcPr>
            <w:tcW w:w="2090" w:type="dxa"/>
            <w:noWrap/>
            <w:tcMar>
              <w:top w:w="20" w:type="dxa"/>
              <w:left w:w="20" w:type="dxa"/>
              <w:bottom w:w="0" w:type="dxa"/>
              <w:right w:w="20" w:type="dxa"/>
            </w:tcMar>
            <w:vAlign w:val="center"/>
          </w:tcPr>
          <w:p w14:paraId="2DE933F2">
            <w:pPr>
              <w:jc w:val="center"/>
              <w:rPr>
                <w:rFonts w:hint="eastAsia" w:ascii="仿宋" w:hAnsi="仿宋" w:eastAsia="仿宋" w:cs="仿宋"/>
                <w:sz w:val="28"/>
                <w:szCs w:val="36"/>
              </w:rPr>
            </w:pPr>
          </w:p>
        </w:tc>
        <w:tc>
          <w:tcPr>
            <w:tcW w:w="1835" w:type="dxa"/>
            <w:noWrap/>
            <w:tcMar>
              <w:top w:w="20" w:type="dxa"/>
              <w:left w:w="20" w:type="dxa"/>
              <w:bottom w:w="0" w:type="dxa"/>
              <w:right w:w="20" w:type="dxa"/>
            </w:tcMar>
            <w:vAlign w:val="center"/>
          </w:tcPr>
          <w:p w14:paraId="63106743">
            <w:pPr>
              <w:jc w:val="center"/>
              <w:rPr>
                <w:rFonts w:hint="eastAsia" w:ascii="仿宋" w:hAnsi="仿宋" w:eastAsia="仿宋" w:cs="仿宋"/>
                <w:sz w:val="28"/>
                <w:szCs w:val="36"/>
              </w:rPr>
            </w:pPr>
          </w:p>
        </w:tc>
      </w:tr>
      <w:tr w14:paraId="2F4535D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1236" w:hRule="atLeast"/>
          <w:jc w:val="center"/>
        </w:trPr>
        <w:tc>
          <w:tcPr>
            <w:tcW w:w="9441" w:type="dxa"/>
            <w:gridSpan w:val="6"/>
            <w:noWrap/>
            <w:tcMar>
              <w:top w:w="20" w:type="dxa"/>
              <w:left w:w="20" w:type="dxa"/>
              <w:bottom w:w="0" w:type="dxa"/>
              <w:right w:w="20" w:type="dxa"/>
            </w:tcMar>
            <w:vAlign w:val="center"/>
          </w:tcPr>
          <w:p w14:paraId="1C73E7E6">
            <w:pPr>
              <w:ind w:firstLine="281" w:firstLineChars="100"/>
              <w:jc w:val="both"/>
              <w:rPr>
                <w:rFonts w:hint="eastAsia" w:ascii="仿宋" w:hAnsi="仿宋" w:eastAsia="仿宋" w:cs="仿宋"/>
                <w:b/>
                <w:bCs/>
                <w:sz w:val="28"/>
                <w:szCs w:val="36"/>
                <w:lang w:val="en-US" w:eastAsia="zh-CN"/>
              </w:rPr>
            </w:pPr>
            <w:r>
              <w:rPr>
                <w:rFonts w:hint="eastAsia" w:ascii="仿宋" w:hAnsi="仿宋" w:eastAsia="仿宋" w:cs="仿宋"/>
                <w:b/>
                <w:bCs/>
                <w:sz w:val="28"/>
                <w:szCs w:val="36"/>
                <w:lang w:val="en-US" w:eastAsia="zh-CN"/>
              </w:rPr>
              <w:t>注：1.供应商报价中包含项目实施过程中的人工费、材料费、保险费、管理费、税金等其他一切相关费用；</w:t>
            </w:r>
          </w:p>
          <w:p w14:paraId="32C9026A">
            <w:pPr>
              <w:numPr>
                <w:ilvl w:val="0"/>
                <w:numId w:val="0"/>
              </w:numPr>
              <w:ind w:firstLine="843" w:firstLineChars="300"/>
              <w:jc w:val="both"/>
              <w:rPr>
                <w:rFonts w:hint="eastAsia" w:ascii="仿宋" w:hAnsi="仿宋" w:eastAsia="仿宋" w:cs="仿宋"/>
                <w:b/>
                <w:bCs/>
                <w:sz w:val="28"/>
                <w:szCs w:val="36"/>
                <w:lang w:val="en-US" w:eastAsia="zh-CN"/>
              </w:rPr>
            </w:pPr>
            <w:r>
              <w:rPr>
                <w:rFonts w:hint="eastAsia" w:ascii="仿宋" w:hAnsi="仿宋" w:eastAsia="仿宋" w:cs="仿宋"/>
                <w:b/>
                <w:bCs/>
                <w:kern w:val="2"/>
                <w:sz w:val="28"/>
                <w:szCs w:val="36"/>
                <w:lang w:val="en-US" w:eastAsia="zh-CN" w:bidi="ar-SA"/>
              </w:rPr>
              <w:t>2.</w:t>
            </w:r>
            <w:r>
              <w:rPr>
                <w:rFonts w:hint="eastAsia" w:ascii="仿宋" w:hAnsi="仿宋" w:eastAsia="仿宋" w:cs="仿宋"/>
                <w:b/>
                <w:bCs/>
                <w:sz w:val="28"/>
                <w:szCs w:val="36"/>
                <w:lang w:val="en-US" w:eastAsia="zh-CN"/>
              </w:rPr>
              <w:t>磋商总报价超过磋商文件中规定的预算金额或者综合单价超过本项目</w:t>
            </w:r>
            <w:r>
              <w:rPr>
                <w:rFonts w:hint="eastAsia" w:ascii="仿宋" w:hAnsi="仿宋" w:eastAsia="仿宋" w:cs="仿宋"/>
                <w:b/>
                <w:bCs/>
                <w:sz w:val="28"/>
                <w:szCs w:val="36"/>
              </w:rPr>
              <w:t>最高含税完全综合单价限价</w:t>
            </w:r>
            <w:r>
              <w:rPr>
                <w:rFonts w:hint="eastAsia" w:ascii="仿宋" w:hAnsi="仿宋" w:eastAsia="仿宋" w:cs="仿宋"/>
                <w:b/>
                <w:bCs/>
                <w:sz w:val="28"/>
                <w:szCs w:val="36"/>
                <w:lang w:val="en-US" w:eastAsia="zh-CN"/>
              </w:rPr>
              <w:t>的，按无效磋商处理。</w:t>
            </w:r>
          </w:p>
          <w:p w14:paraId="6825B99E">
            <w:pPr>
              <w:numPr>
                <w:ilvl w:val="0"/>
                <w:numId w:val="0"/>
              </w:numPr>
              <w:jc w:val="both"/>
              <w:rPr>
                <w:rFonts w:hint="default" w:ascii="仿宋" w:hAnsi="仿宋" w:eastAsia="仿宋" w:cs="仿宋"/>
                <w:b/>
                <w:bCs/>
                <w:sz w:val="28"/>
                <w:szCs w:val="36"/>
                <w:lang w:val="en-US" w:eastAsia="zh-CN"/>
              </w:rPr>
            </w:pPr>
            <w:r>
              <w:rPr>
                <w:rFonts w:hint="eastAsia" w:ascii="仿宋" w:hAnsi="仿宋" w:eastAsia="仿宋" w:cs="仿宋"/>
                <w:b/>
                <w:bCs/>
                <w:sz w:val="28"/>
                <w:szCs w:val="36"/>
                <w:lang w:val="en-US" w:eastAsia="zh-CN"/>
              </w:rPr>
              <w:t xml:space="preserve">     3.磋商报价大小写不一致时，以大写为准。</w:t>
            </w:r>
          </w:p>
        </w:tc>
      </w:tr>
    </w:tbl>
    <w:p w14:paraId="0B4EA18A">
      <w:pPr>
        <w:adjustRightInd w:val="0"/>
        <w:spacing w:line="480" w:lineRule="auto"/>
        <w:jc w:val="left"/>
        <w:rPr>
          <w:rFonts w:hint="eastAsia" w:ascii="宋体" w:hAnsi="宋体" w:cs="宋体"/>
          <w:color w:val="auto"/>
          <w:szCs w:val="21"/>
          <w:highlight w:val="none"/>
        </w:rPr>
      </w:pPr>
    </w:p>
    <w:p w14:paraId="751AA50B">
      <w:pPr>
        <w:adjustRightInd w:val="0"/>
        <w:spacing w:line="480" w:lineRule="auto"/>
        <w:ind w:firstLine="2940" w:firstLineChars="1400"/>
        <w:jc w:val="left"/>
        <w:rPr>
          <w:rFonts w:hint="eastAsia" w:ascii="宋体" w:hAnsi="宋体" w:cs="宋体"/>
          <w:color w:val="auto"/>
          <w:szCs w:val="21"/>
          <w:highlight w:val="none"/>
        </w:rPr>
      </w:pPr>
    </w:p>
    <w:p w14:paraId="15D66D1D">
      <w:pPr>
        <w:jc w:val="both"/>
        <w:rPr>
          <w:rFonts w:hint="eastAsia" w:ascii="仿宋" w:hAnsi="仿宋" w:eastAsia="仿宋" w:cs="仿宋"/>
          <w:sz w:val="28"/>
          <w:szCs w:val="36"/>
          <w:lang w:val="en-US" w:eastAsia="zh-CN"/>
        </w:rPr>
      </w:pPr>
      <w:bookmarkStart w:id="0" w:name="_GoBack"/>
      <w:bookmarkEnd w:id="0"/>
    </w:p>
    <w:p w14:paraId="12F434D6">
      <w:pPr>
        <w:jc w:val="both"/>
        <w:rPr>
          <w:rFonts w:hint="eastAsia" w:ascii="仿宋" w:hAnsi="仿宋" w:eastAsia="仿宋" w:cs="仿宋"/>
          <w:sz w:val="28"/>
          <w:szCs w:val="36"/>
          <w:lang w:val="en-US" w:eastAsia="zh-CN"/>
        </w:rPr>
      </w:pPr>
    </w:p>
    <w:p w14:paraId="42C55002">
      <w:pPr>
        <w:spacing w:line="480" w:lineRule="auto"/>
        <w:ind w:firstLine="1960" w:firstLineChars="700"/>
        <w:jc w:val="both"/>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供应商名称：</w:t>
      </w:r>
      <w:r>
        <w:rPr>
          <w:rFonts w:hint="eastAsia" w:ascii="仿宋" w:hAnsi="仿宋" w:eastAsia="仿宋" w:cs="仿宋"/>
          <w:i/>
          <w:iCs/>
          <w:sz w:val="28"/>
          <w:szCs w:val="36"/>
          <w:u w:val="single"/>
          <w:lang w:val="en-US" w:eastAsia="zh-CN"/>
        </w:rPr>
        <w:t xml:space="preserve">                       </w:t>
      </w:r>
      <w:r>
        <w:rPr>
          <w:rFonts w:hint="eastAsia" w:ascii="仿宋" w:hAnsi="仿宋" w:eastAsia="仿宋" w:cs="仿宋"/>
          <w:sz w:val="28"/>
          <w:szCs w:val="36"/>
          <w:lang w:val="en-US" w:eastAsia="zh-CN"/>
        </w:rPr>
        <w:t xml:space="preserve">（单位公章）      </w:t>
      </w:r>
    </w:p>
    <w:p w14:paraId="035FFEE8">
      <w:pPr>
        <w:spacing w:line="480" w:lineRule="auto"/>
        <w:ind w:firstLine="1400" w:firstLineChars="500"/>
        <w:jc w:val="both"/>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法定代表人或被授权代表：</w:t>
      </w:r>
      <w:r>
        <w:rPr>
          <w:rFonts w:hint="eastAsia" w:ascii="仿宋" w:hAnsi="仿宋" w:eastAsia="仿宋" w:cs="仿宋"/>
          <w:sz w:val="28"/>
          <w:szCs w:val="36"/>
          <w:u w:val="single"/>
          <w:lang w:val="en-US" w:eastAsia="zh-CN"/>
        </w:rPr>
        <w:t xml:space="preserve">            </w:t>
      </w:r>
      <w:r>
        <w:rPr>
          <w:rFonts w:hint="eastAsia" w:ascii="仿宋" w:hAnsi="仿宋" w:eastAsia="仿宋" w:cs="仿宋"/>
          <w:sz w:val="28"/>
          <w:szCs w:val="36"/>
          <w:lang w:val="en-US" w:eastAsia="zh-CN"/>
        </w:rPr>
        <w:t>（签字或盖章）</w:t>
      </w:r>
    </w:p>
    <w:p w14:paraId="3000E4B8">
      <w:pPr>
        <w:spacing w:line="480" w:lineRule="auto"/>
        <w:jc w:val="both"/>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 xml:space="preserve">              日    期：</w:t>
      </w:r>
      <w:r>
        <w:rPr>
          <w:rFonts w:hint="eastAsia" w:ascii="仿宋" w:hAnsi="仿宋" w:eastAsia="仿宋" w:cs="仿宋"/>
          <w:sz w:val="28"/>
          <w:szCs w:val="36"/>
          <w:u w:val="single"/>
          <w:lang w:val="en-US" w:eastAsia="zh-CN"/>
        </w:rPr>
        <w:t xml:space="preserve">      </w:t>
      </w:r>
      <w:r>
        <w:rPr>
          <w:rFonts w:hint="eastAsia" w:ascii="仿宋" w:hAnsi="仿宋" w:eastAsia="仿宋" w:cs="仿宋"/>
          <w:sz w:val="28"/>
          <w:szCs w:val="36"/>
          <w:lang w:val="en-US" w:eastAsia="zh-CN"/>
        </w:rPr>
        <w:t>年</w:t>
      </w:r>
      <w:r>
        <w:rPr>
          <w:rFonts w:hint="eastAsia" w:ascii="仿宋" w:hAnsi="仿宋" w:eastAsia="仿宋" w:cs="仿宋"/>
          <w:sz w:val="28"/>
          <w:szCs w:val="36"/>
          <w:u w:val="single"/>
          <w:lang w:val="en-US" w:eastAsia="zh-CN"/>
        </w:rPr>
        <w:t xml:space="preserve">     </w:t>
      </w:r>
      <w:r>
        <w:rPr>
          <w:rFonts w:hint="eastAsia" w:ascii="仿宋" w:hAnsi="仿宋" w:eastAsia="仿宋" w:cs="仿宋"/>
          <w:sz w:val="28"/>
          <w:szCs w:val="36"/>
          <w:lang w:val="en-US" w:eastAsia="zh-CN"/>
        </w:rPr>
        <w:t>月</w:t>
      </w:r>
      <w:r>
        <w:rPr>
          <w:rFonts w:hint="eastAsia" w:ascii="仿宋" w:hAnsi="仿宋" w:eastAsia="仿宋" w:cs="仿宋"/>
          <w:sz w:val="28"/>
          <w:szCs w:val="36"/>
          <w:u w:val="single"/>
          <w:lang w:val="en-US" w:eastAsia="zh-CN"/>
        </w:rPr>
        <w:t xml:space="preserve">     </w:t>
      </w:r>
      <w:r>
        <w:rPr>
          <w:rFonts w:hint="eastAsia" w:ascii="仿宋" w:hAnsi="仿宋" w:eastAsia="仿宋" w:cs="仿宋"/>
          <w:sz w:val="28"/>
          <w:szCs w:val="36"/>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zZWE2YjZmMWJhNzNlMjI0YjdmYTc2MjRkNjc2NTMifQ=="/>
  </w:docVars>
  <w:rsids>
    <w:rsidRoot w:val="0E2A727F"/>
    <w:rsid w:val="0E2A727F"/>
    <w:rsid w:val="11E8749E"/>
    <w:rsid w:val="146344CD"/>
    <w:rsid w:val="1D4D3296"/>
    <w:rsid w:val="39C35C02"/>
    <w:rsid w:val="419403A7"/>
    <w:rsid w:val="49CD403F"/>
    <w:rsid w:val="509348CC"/>
    <w:rsid w:val="5237602E"/>
    <w:rsid w:val="5B3D1B8F"/>
    <w:rsid w:val="7DC554EF"/>
    <w:rsid w:val="7E9734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221</Words>
  <Characters>235</Characters>
  <Lines>0</Lines>
  <Paragraphs>0</Paragraphs>
  <TotalTime>0</TotalTime>
  <ScaleCrop>false</ScaleCrop>
  <LinksUpToDate>false</LinksUpToDate>
  <CharactersWithSpaces>317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2023-10-19T05:24:00Z</dcterms:created>
  <dc:creator>冰糖葫芦</dc:creator>
  <cp:lastModifiedBy>扭儿</cp:lastModifiedBy>
  <dcterms:modified xsi:type="dcterms:W3CDTF">2025-04-14T09:02:51Z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B43A804B319D4901B12D3D0B59EF340B_11</vt:lpwstr>
  </property>
  <property fmtid="{D5CDD505-2E9C-101B-9397-08002B2CF9AE}" pid="4" name="KSOTemplateDocerSaveRecord">
    <vt:lpwstr>eyJoZGlkIjoiNjdkMmFlMjIyMzdkYjFiMzFkOGRiMTg2M2VhMWZmYTMiLCJ1c2VySWQiOiIzMDg1NTU1OTcifQ==</vt:lpwstr>
  </property>
</Properties>
</file>