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D3FEE">
      <w:pPr>
        <w:pStyle w:val="4"/>
        <w:jc w:val="center"/>
        <w:rPr>
          <w:rFonts w:hint="default" w:hAnsi="宋体" w:eastAsia="宋体" w:cs="宋体"/>
          <w:b/>
          <w:bCs/>
          <w:color w:val="auto"/>
          <w:sz w:val="36"/>
          <w:szCs w:val="36"/>
          <w:highlight w:val="none"/>
          <w:lang w:val="en-US" w:eastAsia="zh-CN"/>
        </w:rPr>
      </w:pPr>
    </w:p>
    <w:p w14:paraId="02CB22F0">
      <w:pPr>
        <w:pStyle w:val="4"/>
        <w:jc w:val="center"/>
        <w:rPr>
          <w:rFonts w:hint="default" w:hAnsi="宋体" w:eastAsia="宋体" w:cs="宋体"/>
          <w:b/>
          <w:bCs/>
          <w:color w:val="auto"/>
          <w:sz w:val="36"/>
          <w:szCs w:val="36"/>
          <w:highlight w:val="none"/>
          <w:lang w:val="en-US" w:eastAsia="zh-CN"/>
        </w:rPr>
      </w:pPr>
    </w:p>
    <w:p w14:paraId="1E5842B5">
      <w:pPr>
        <w:pStyle w:val="4"/>
        <w:jc w:val="center"/>
        <w:rPr>
          <w:rFonts w:hint="default" w:hAnsi="宋体" w:eastAsia="宋体" w:cs="宋体"/>
          <w:b/>
          <w:bCs/>
          <w:color w:val="auto"/>
          <w:sz w:val="36"/>
          <w:szCs w:val="36"/>
          <w:highlight w:val="none"/>
          <w:lang w:val="en-US" w:eastAsia="zh-CN"/>
        </w:rPr>
      </w:pPr>
      <w:r>
        <w:rPr>
          <w:rFonts w:hint="eastAsia" w:hAnsi="宋体" w:eastAsia="宋体" w:cs="宋体"/>
          <w:b/>
          <w:bCs/>
          <w:color w:val="auto"/>
          <w:sz w:val="36"/>
          <w:szCs w:val="36"/>
          <w:highlight w:val="none"/>
          <w:lang w:val="en-US" w:eastAsia="zh-CN"/>
        </w:rPr>
        <w:t>西安液化天然气(LNG)应急储备气调峰岳华村搬迁安置临时围墙建设项目</w:t>
      </w:r>
    </w:p>
    <w:p w14:paraId="78072AB6">
      <w:pPr>
        <w:pStyle w:val="4"/>
        <w:ind w:firstLine="723" w:firstLineChars="200"/>
        <w:rPr>
          <w:rFonts w:hint="eastAsia" w:hAnsi="宋体" w:eastAsia="宋体" w:cs="宋体"/>
          <w:b/>
          <w:bCs/>
          <w:color w:val="auto"/>
          <w:sz w:val="36"/>
          <w:szCs w:val="36"/>
          <w:highlight w:val="none"/>
          <w:lang w:eastAsia="zh-CN"/>
        </w:rPr>
      </w:pPr>
    </w:p>
    <w:p w14:paraId="4D29122B">
      <w:pPr>
        <w:pStyle w:val="4"/>
        <w:jc w:val="center"/>
        <w:rPr>
          <w:rFonts w:hint="eastAsia" w:hAnsi="宋体" w:eastAsia="宋体" w:cs="宋体"/>
          <w:b/>
          <w:bCs/>
          <w:color w:val="auto"/>
          <w:sz w:val="44"/>
          <w:szCs w:val="44"/>
          <w:highlight w:val="none"/>
          <w:lang w:val="en-US" w:eastAsia="zh-CN"/>
        </w:rPr>
      </w:pPr>
    </w:p>
    <w:p w14:paraId="0E46FB13">
      <w:pPr>
        <w:pStyle w:val="4"/>
        <w:jc w:val="center"/>
        <w:rPr>
          <w:rFonts w:hint="eastAsia" w:hAnsi="宋体" w:eastAsia="宋体" w:cs="宋体"/>
          <w:b/>
          <w:bCs/>
          <w:color w:val="auto"/>
          <w:sz w:val="44"/>
          <w:szCs w:val="44"/>
          <w:highlight w:val="none"/>
          <w:lang w:val="en-US" w:eastAsia="zh-CN"/>
        </w:rPr>
      </w:pPr>
      <w:r>
        <w:rPr>
          <w:rFonts w:hint="eastAsia" w:hAnsi="宋体" w:eastAsia="宋体" w:cs="宋体"/>
          <w:b/>
          <w:bCs/>
          <w:color w:val="auto"/>
          <w:sz w:val="44"/>
          <w:szCs w:val="44"/>
          <w:highlight w:val="none"/>
        </w:rPr>
        <w:t>合同</w:t>
      </w:r>
      <w:r>
        <w:rPr>
          <w:rFonts w:hint="eastAsia" w:hAnsi="宋体" w:eastAsia="宋体" w:cs="宋体"/>
          <w:b/>
          <w:bCs/>
          <w:color w:val="auto"/>
          <w:sz w:val="44"/>
          <w:szCs w:val="44"/>
          <w:highlight w:val="none"/>
          <w:lang w:val="en-US" w:eastAsia="zh-CN"/>
        </w:rPr>
        <w:t>文本</w:t>
      </w:r>
    </w:p>
    <w:p w14:paraId="6EAEBEBD">
      <w:pPr>
        <w:pStyle w:val="4"/>
        <w:ind w:firstLine="560" w:firstLineChars="200"/>
        <w:rPr>
          <w:rFonts w:hint="eastAsia" w:hAnsi="宋体" w:eastAsia="宋体" w:cs="宋体"/>
          <w:color w:val="auto"/>
          <w:szCs w:val="32"/>
          <w:highlight w:val="none"/>
        </w:rPr>
      </w:pPr>
    </w:p>
    <w:p w14:paraId="3F3164D8">
      <w:pPr>
        <w:pStyle w:val="4"/>
        <w:ind w:firstLine="560" w:firstLineChars="200"/>
        <w:rPr>
          <w:rFonts w:hint="eastAsia" w:hAnsi="宋体" w:eastAsia="宋体" w:cs="宋体"/>
          <w:color w:val="auto"/>
          <w:szCs w:val="32"/>
          <w:highlight w:val="none"/>
        </w:rPr>
      </w:pPr>
    </w:p>
    <w:p w14:paraId="11942F86">
      <w:pPr>
        <w:pStyle w:val="4"/>
        <w:ind w:firstLine="560" w:firstLineChars="200"/>
        <w:jc w:val="center"/>
        <w:rPr>
          <w:rFonts w:hint="eastAsia" w:hAnsi="宋体" w:eastAsia="宋体" w:cs="宋体"/>
          <w:color w:val="auto"/>
          <w:szCs w:val="32"/>
          <w:highlight w:val="none"/>
        </w:rPr>
      </w:pPr>
      <w:r>
        <w:rPr>
          <w:rFonts w:hint="eastAsia" w:ascii="宋体" w:hAnsi="宋体" w:eastAsia="宋体" w:cs="宋体"/>
          <w:sz w:val="28"/>
          <w:szCs w:val="28"/>
          <w:highlight w:val="none"/>
          <w:lang w:val="zh-CN"/>
        </w:rPr>
        <w:t>（参考格式，</w:t>
      </w:r>
      <w:r>
        <w:rPr>
          <w:rFonts w:hint="eastAsia" w:ascii="宋体" w:hAnsi="宋体" w:eastAsia="宋体" w:cs="宋体"/>
          <w:sz w:val="28"/>
          <w:szCs w:val="28"/>
          <w:highlight w:val="none"/>
        </w:rPr>
        <w:t>以双方最终签订合同为准</w:t>
      </w:r>
      <w:r>
        <w:rPr>
          <w:rFonts w:hint="eastAsia" w:ascii="宋体" w:hAnsi="宋体" w:eastAsia="宋体" w:cs="宋体"/>
          <w:sz w:val="28"/>
          <w:szCs w:val="28"/>
          <w:highlight w:val="none"/>
          <w:lang w:val="zh-CN"/>
        </w:rPr>
        <w:t>）</w:t>
      </w:r>
    </w:p>
    <w:p w14:paraId="54868F2D">
      <w:pPr>
        <w:pStyle w:val="4"/>
        <w:ind w:firstLine="560" w:firstLineChars="200"/>
        <w:rPr>
          <w:rFonts w:hint="eastAsia" w:hAnsi="宋体" w:eastAsia="宋体" w:cs="宋体"/>
          <w:color w:val="auto"/>
          <w:szCs w:val="32"/>
          <w:highlight w:val="none"/>
        </w:rPr>
      </w:pPr>
    </w:p>
    <w:p w14:paraId="1C2C6342">
      <w:pPr>
        <w:pStyle w:val="4"/>
        <w:ind w:firstLine="560" w:firstLineChars="200"/>
        <w:rPr>
          <w:rFonts w:hint="eastAsia" w:hAnsi="宋体" w:eastAsia="宋体" w:cs="宋体"/>
          <w:color w:val="auto"/>
          <w:szCs w:val="32"/>
          <w:highlight w:val="none"/>
        </w:rPr>
      </w:pPr>
    </w:p>
    <w:p w14:paraId="2BE63F7A">
      <w:pPr>
        <w:pStyle w:val="4"/>
        <w:rPr>
          <w:rFonts w:hint="eastAsia" w:hAnsi="宋体" w:eastAsia="宋体" w:cs="宋体"/>
          <w:color w:val="auto"/>
          <w:szCs w:val="32"/>
          <w:highlight w:val="none"/>
        </w:rPr>
      </w:pPr>
    </w:p>
    <w:p w14:paraId="422D6C57">
      <w:pPr>
        <w:pStyle w:val="4"/>
        <w:ind w:firstLine="560" w:firstLineChars="200"/>
        <w:rPr>
          <w:rFonts w:hint="eastAsia" w:hAnsi="宋体" w:eastAsia="宋体" w:cs="宋体"/>
          <w:color w:val="auto"/>
          <w:szCs w:val="32"/>
          <w:highlight w:val="none"/>
        </w:rPr>
      </w:pPr>
    </w:p>
    <w:p w14:paraId="6317E565">
      <w:pPr>
        <w:pStyle w:val="4"/>
        <w:ind w:firstLine="560" w:firstLineChars="200"/>
        <w:rPr>
          <w:rFonts w:hint="eastAsia" w:hAnsi="宋体" w:eastAsia="宋体" w:cs="宋体"/>
          <w:color w:val="auto"/>
          <w:szCs w:val="32"/>
          <w:highlight w:val="none"/>
        </w:rPr>
      </w:pPr>
    </w:p>
    <w:p w14:paraId="5023D693">
      <w:pPr>
        <w:pStyle w:val="4"/>
        <w:ind w:firstLine="1200" w:firstLineChars="500"/>
        <w:rPr>
          <w:rFonts w:hint="eastAsia" w:hAnsi="宋体" w:eastAsia="宋体" w:cs="宋体"/>
          <w:color w:val="auto"/>
          <w:sz w:val="24"/>
          <w:szCs w:val="24"/>
          <w:highlight w:val="none"/>
          <w:u w:val="single"/>
        </w:rPr>
      </w:pPr>
      <w:r>
        <w:rPr>
          <w:rFonts w:hint="eastAsia" w:hAnsi="宋体" w:eastAsia="宋体" w:cs="宋体"/>
          <w:color w:val="auto"/>
          <w:sz w:val="24"/>
          <w:szCs w:val="24"/>
          <w:highlight w:val="none"/>
        </w:rPr>
        <w:t>合同编号：</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lang w:val="en-US" w:eastAsia="zh-CN"/>
        </w:rPr>
        <w:t xml:space="preserve">   </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p>
    <w:p w14:paraId="4BB9D816">
      <w:pPr>
        <w:pStyle w:val="4"/>
        <w:rPr>
          <w:rFonts w:hint="eastAsia" w:hAnsi="宋体" w:eastAsia="宋体" w:cs="宋体"/>
          <w:color w:val="auto"/>
          <w:sz w:val="24"/>
          <w:szCs w:val="24"/>
          <w:highlight w:val="none"/>
        </w:rPr>
      </w:pPr>
    </w:p>
    <w:p w14:paraId="0B9181FC">
      <w:pPr>
        <w:pStyle w:val="4"/>
        <w:rPr>
          <w:rFonts w:hint="eastAsia" w:hAnsi="宋体" w:eastAsia="宋体" w:cs="宋体"/>
          <w:color w:val="auto"/>
          <w:sz w:val="24"/>
          <w:szCs w:val="24"/>
          <w:highlight w:val="none"/>
        </w:rPr>
      </w:pPr>
    </w:p>
    <w:p w14:paraId="73C85396">
      <w:pPr>
        <w:pStyle w:val="4"/>
        <w:rPr>
          <w:rFonts w:hint="eastAsia" w:hAnsi="宋体" w:eastAsia="宋体" w:cs="宋体"/>
          <w:color w:val="auto"/>
          <w:sz w:val="24"/>
          <w:szCs w:val="24"/>
          <w:highlight w:val="none"/>
        </w:rPr>
      </w:pPr>
    </w:p>
    <w:p w14:paraId="1438C6C5">
      <w:pPr>
        <w:pStyle w:val="4"/>
        <w:ind w:firstLine="1200" w:firstLineChars="500"/>
        <w:rPr>
          <w:rFonts w:hint="eastAsia" w:hAnsi="宋体" w:eastAsia="宋体" w:cs="宋体"/>
          <w:color w:val="auto"/>
          <w:sz w:val="24"/>
          <w:szCs w:val="24"/>
          <w:highlight w:val="none"/>
        </w:rPr>
      </w:pPr>
      <w:r>
        <w:rPr>
          <w:rFonts w:hint="eastAsia" w:hAnsi="宋体" w:eastAsia="宋体" w:cs="宋体"/>
          <w:color w:val="auto"/>
          <w:sz w:val="24"/>
          <w:szCs w:val="24"/>
          <w:highlight w:val="none"/>
        </w:rPr>
        <w:t>甲</w:t>
      </w:r>
      <w:r>
        <w:rPr>
          <w:rFonts w:hint="eastAsia" w:hAnsi="宋体" w:eastAsia="宋体" w:cs="宋体"/>
          <w:color w:val="auto"/>
          <w:sz w:val="24"/>
          <w:szCs w:val="24"/>
          <w:highlight w:val="none"/>
          <w:lang w:val="en-US" w:eastAsia="zh-CN"/>
        </w:rPr>
        <w:t xml:space="preserve">   </w:t>
      </w:r>
      <w:r>
        <w:rPr>
          <w:rFonts w:hint="eastAsia" w:hAnsi="宋体" w:eastAsia="宋体" w:cs="宋体"/>
          <w:color w:val="auto"/>
          <w:sz w:val="24"/>
          <w:szCs w:val="24"/>
          <w:highlight w:val="none"/>
        </w:rPr>
        <w:t>方：</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lang w:val="en-US" w:eastAsia="zh-CN"/>
        </w:rPr>
        <w:t xml:space="preserve">   </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rPr>
        <w:tab/>
      </w:r>
    </w:p>
    <w:p w14:paraId="17982D27">
      <w:pPr>
        <w:pStyle w:val="4"/>
        <w:ind w:firstLine="480" w:firstLineChars="200"/>
        <w:jc w:val="center"/>
        <w:rPr>
          <w:rFonts w:hint="eastAsia" w:hAnsi="宋体" w:eastAsia="宋体" w:cs="宋体"/>
          <w:color w:val="auto"/>
          <w:sz w:val="24"/>
          <w:szCs w:val="24"/>
          <w:highlight w:val="none"/>
        </w:rPr>
      </w:pPr>
    </w:p>
    <w:p w14:paraId="162ACB8A">
      <w:pPr>
        <w:pStyle w:val="4"/>
        <w:ind w:firstLine="1200" w:firstLineChars="500"/>
        <w:rPr>
          <w:rFonts w:hint="eastAsia" w:hAnsi="宋体" w:eastAsia="宋体" w:cs="宋体"/>
          <w:color w:val="auto"/>
          <w:sz w:val="24"/>
          <w:szCs w:val="24"/>
          <w:highlight w:val="none"/>
        </w:rPr>
      </w:pPr>
    </w:p>
    <w:p w14:paraId="1D343308">
      <w:pPr>
        <w:pStyle w:val="4"/>
        <w:ind w:firstLine="1200" w:firstLineChars="500"/>
        <w:rPr>
          <w:rFonts w:hint="eastAsia" w:hAnsi="宋体" w:eastAsia="宋体" w:cs="宋体"/>
          <w:color w:val="auto"/>
          <w:sz w:val="24"/>
          <w:szCs w:val="24"/>
          <w:highlight w:val="none"/>
        </w:rPr>
      </w:pPr>
    </w:p>
    <w:p w14:paraId="33DFA90D">
      <w:pPr>
        <w:pStyle w:val="4"/>
        <w:ind w:firstLine="1200" w:firstLineChars="500"/>
        <w:rPr>
          <w:rFonts w:hint="eastAsia" w:hAnsi="宋体" w:eastAsia="宋体" w:cs="宋体"/>
          <w:color w:val="auto"/>
          <w:szCs w:val="32"/>
          <w:highlight w:val="none"/>
        </w:rPr>
      </w:pPr>
      <w:r>
        <w:rPr>
          <w:rFonts w:hint="eastAsia" w:hAnsi="宋体" w:eastAsia="宋体" w:cs="宋体"/>
          <w:color w:val="auto"/>
          <w:sz w:val="24"/>
          <w:szCs w:val="24"/>
          <w:highlight w:val="none"/>
        </w:rPr>
        <w:t>乙</w:t>
      </w:r>
      <w:r>
        <w:rPr>
          <w:rFonts w:hint="eastAsia" w:hAnsi="宋体" w:eastAsia="宋体" w:cs="宋体"/>
          <w:color w:val="auto"/>
          <w:sz w:val="24"/>
          <w:szCs w:val="24"/>
          <w:highlight w:val="none"/>
          <w:lang w:val="en-US" w:eastAsia="zh-CN"/>
        </w:rPr>
        <w:t xml:space="preserve">   </w:t>
      </w:r>
      <w:r>
        <w:rPr>
          <w:rFonts w:hint="eastAsia" w:hAnsi="宋体" w:eastAsia="宋体" w:cs="宋体"/>
          <w:color w:val="auto"/>
          <w:sz w:val="24"/>
          <w:szCs w:val="24"/>
          <w:highlight w:val="none"/>
        </w:rPr>
        <w:t>方：</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lang w:val="en-US" w:eastAsia="zh-CN"/>
        </w:rPr>
        <w:t xml:space="preserve">   </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p>
    <w:p w14:paraId="3292F3D9">
      <w:pPr>
        <w:rPr>
          <w:rFonts w:hint="eastAsia" w:ascii="宋体" w:hAnsi="宋体" w:cs="宋体"/>
          <w:color w:val="auto"/>
          <w:highlight w:val="none"/>
        </w:rPr>
      </w:pPr>
    </w:p>
    <w:p w14:paraId="51EC0B14">
      <w:pPr>
        <w:pStyle w:val="4"/>
        <w:spacing w:line="336" w:lineRule="auto"/>
        <w:ind w:firstLine="840" w:firstLineChars="300"/>
        <w:rPr>
          <w:rFonts w:hint="eastAsia" w:hAnsi="宋体" w:eastAsia="宋体" w:cs="宋体"/>
          <w:color w:val="auto"/>
          <w:szCs w:val="32"/>
          <w:highlight w:val="none"/>
        </w:rPr>
      </w:pPr>
    </w:p>
    <w:p w14:paraId="5D1CB1E4">
      <w:pPr>
        <w:pStyle w:val="4"/>
        <w:ind w:firstLine="1200" w:firstLineChars="500"/>
        <w:rPr>
          <w:rFonts w:hint="eastAsia" w:hAnsi="宋体" w:eastAsia="宋体" w:cs="宋体"/>
          <w:color w:val="auto"/>
          <w:sz w:val="24"/>
          <w:szCs w:val="24"/>
          <w:highlight w:val="none"/>
          <w:u w:val="single"/>
        </w:rPr>
      </w:pPr>
      <w:r>
        <w:rPr>
          <w:rFonts w:hint="eastAsia" w:hAnsi="宋体" w:eastAsia="宋体" w:cs="宋体"/>
          <w:color w:val="auto"/>
          <w:sz w:val="24"/>
          <w:szCs w:val="24"/>
          <w:highlight w:val="none"/>
        </w:rPr>
        <w:t>签订日期：</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lang w:val="en-US" w:eastAsia="zh-CN"/>
        </w:rPr>
        <w:t xml:space="preserve">   </w:t>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ab/>
      </w:r>
      <w:r>
        <w:rPr>
          <w:rFonts w:hint="eastAsia" w:hAnsi="宋体" w:eastAsia="宋体" w:cs="宋体"/>
          <w:color w:val="auto"/>
          <w:sz w:val="24"/>
          <w:szCs w:val="24"/>
          <w:highlight w:val="none"/>
          <w:u w:val="single"/>
        </w:rPr>
        <w:t xml:space="preserve"> </w:t>
      </w:r>
    </w:p>
    <w:p w14:paraId="56E180C7">
      <w:pPr>
        <w:pStyle w:val="4"/>
        <w:ind w:firstLine="1200" w:firstLineChars="500"/>
        <w:rPr>
          <w:rFonts w:hint="eastAsia" w:hAnsi="宋体" w:eastAsia="宋体" w:cs="宋体"/>
          <w:color w:val="auto"/>
          <w:sz w:val="24"/>
          <w:szCs w:val="24"/>
          <w:highlight w:val="none"/>
        </w:rPr>
      </w:pPr>
    </w:p>
    <w:p w14:paraId="02862117">
      <w:pPr>
        <w:snapToGrid w:val="0"/>
        <w:spacing w:line="532" w:lineRule="atLeast"/>
        <w:jc w:val="center"/>
        <w:textAlignment w:val="baseline"/>
        <w:rPr>
          <w:rFonts w:ascii="宋体" w:hAnsi="宋体"/>
          <w:b/>
          <w:color w:val="auto"/>
          <w:kern w:val="0"/>
          <w:sz w:val="48"/>
          <w:szCs w:val="48"/>
          <w:highlight w:val="none"/>
          <w:u w:val="none" w:color="000000"/>
        </w:rPr>
      </w:pPr>
      <w:r>
        <w:rPr>
          <w:rFonts w:hint="eastAsia" w:ascii="宋体" w:hAnsi="宋体" w:cs="宋体"/>
          <w:b/>
          <w:color w:val="auto"/>
          <w:szCs w:val="21"/>
          <w:highlight w:val="none"/>
        </w:rPr>
        <w:br w:type="page"/>
      </w:r>
    </w:p>
    <w:p w14:paraId="6CA4592D">
      <w:pPr>
        <w:spacing w:line="360" w:lineRule="auto"/>
        <w:ind w:left="-18" w:firstLine="420" w:firstLineChars="200"/>
        <w:rPr>
          <w:rFonts w:hint="eastAsia" w:ascii="宋体" w:hAnsi="宋体"/>
          <w:color w:val="auto"/>
          <w:highlight w:val="none"/>
        </w:rPr>
      </w:pPr>
    </w:p>
    <w:p w14:paraId="5DEB4A97">
      <w:pPr>
        <w:keepNext w:val="0"/>
        <w:keepLines w:val="0"/>
        <w:pageBreakBefore w:val="0"/>
        <w:kinsoku/>
        <w:wordWrap/>
        <w:overflowPunct/>
        <w:topLinePunct w:val="0"/>
        <w:autoSpaceDE/>
        <w:autoSpaceDN/>
        <w:bidi w:val="0"/>
        <w:adjustRightInd/>
        <w:spacing w:line="360" w:lineRule="auto"/>
        <w:ind w:firstLine="440" w:firstLineChars="200"/>
        <w:jc w:val="left"/>
        <w:rPr>
          <w:rStyle w:val="9"/>
          <w:rFonts w:hint="eastAsia" w:ascii="宋体" w:hAnsi="宋体" w:eastAsia="宋体" w:cs="Times New Roman"/>
          <w:bCs/>
          <w:color w:val="auto"/>
          <w:sz w:val="22"/>
          <w:szCs w:val="22"/>
          <w:highlight w:val="none"/>
        </w:rPr>
      </w:pPr>
      <w:r>
        <w:rPr>
          <w:rStyle w:val="9"/>
          <w:rFonts w:hint="eastAsia" w:ascii="宋体" w:hAnsi="宋体" w:eastAsia="宋体" w:cs="Times New Roman"/>
          <w:bCs/>
          <w:color w:val="auto"/>
          <w:sz w:val="22"/>
          <w:szCs w:val="22"/>
          <w:highlight w:val="none"/>
        </w:rPr>
        <w:t>采购人（</w:t>
      </w:r>
      <w:r>
        <w:rPr>
          <w:rStyle w:val="9"/>
          <w:rFonts w:hint="eastAsia" w:ascii="宋体" w:hAnsi="宋体" w:cs="Times New Roman"/>
          <w:bCs/>
          <w:color w:val="auto"/>
          <w:sz w:val="22"/>
          <w:szCs w:val="22"/>
          <w:highlight w:val="none"/>
          <w:lang w:val="en-US" w:eastAsia="zh-CN"/>
        </w:rPr>
        <w:t>以下简称</w:t>
      </w:r>
      <w:r>
        <w:rPr>
          <w:rStyle w:val="9"/>
          <w:rFonts w:hint="eastAsia" w:ascii="宋体" w:hAnsi="宋体" w:eastAsia="宋体" w:cs="Times New Roman"/>
          <w:bCs/>
          <w:color w:val="auto"/>
          <w:sz w:val="22"/>
          <w:szCs w:val="22"/>
          <w:highlight w:val="none"/>
        </w:rPr>
        <w:t>甲方）：</w:t>
      </w:r>
    </w:p>
    <w:p w14:paraId="326C2FDB">
      <w:pPr>
        <w:keepNext w:val="0"/>
        <w:keepLines w:val="0"/>
        <w:pageBreakBefore w:val="0"/>
        <w:kinsoku/>
        <w:wordWrap/>
        <w:overflowPunct/>
        <w:topLinePunct w:val="0"/>
        <w:autoSpaceDE/>
        <w:autoSpaceDN/>
        <w:bidi w:val="0"/>
        <w:adjustRightInd/>
        <w:spacing w:line="360" w:lineRule="auto"/>
        <w:ind w:firstLine="440" w:firstLineChars="200"/>
        <w:jc w:val="left"/>
        <w:rPr>
          <w:rFonts w:hint="eastAsia"/>
          <w:color w:val="auto"/>
          <w:highlight w:val="none"/>
        </w:rPr>
      </w:pPr>
      <w:r>
        <w:rPr>
          <w:rStyle w:val="9"/>
          <w:rFonts w:hint="eastAsia" w:ascii="宋体" w:hAnsi="宋体" w:cs="Times New Roman"/>
          <w:bCs/>
          <w:color w:val="auto"/>
          <w:sz w:val="22"/>
          <w:szCs w:val="22"/>
          <w:highlight w:val="none"/>
          <w:lang w:val="en-US" w:eastAsia="zh-CN"/>
        </w:rPr>
        <w:t>供应商</w:t>
      </w:r>
      <w:r>
        <w:rPr>
          <w:rStyle w:val="9"/>
          <w:rFonts w:hint="eastAsia" w:ascii="宋体" w:hAnsi="宋体" w:eastAsia="宋体" w:cs="Times New Roman"/>
          <w:bCs/>
          <w:color w:val="auto"/>
          <w:sz w:val="22"/>
          <w:szCs w:val="22"/>
          <w:highlight w:val="none"/>
        </w:rPr>
        <w:t>（</w:t>
      </w:r>
      <w:r>
        <w:rPr>
          <w:rStyle w:val="9"/>
          <w:rFonts w:hint="eastAsia" w:ascii="宋体" w:hAnsi="宋体" w:cs="Times New Roman"/>
          <w:bCs/>
          <w:color w:val="auto"/>
          <w:sz w:val="22"/>
          <w:szCs w:val="22"/>
          <w:highlight w:val="none"/>
          <w:lang w:val="en-US" w:eastAsia="zh-CN"/>
        </w:rPr>
        <w:t>以下简称</w:t>
      </w:r>
      <w:r>
        <w:rPr>
          <w:rStyle w:val="9"/>
          <w:rFonts w:hint="eastAsia" w:ascii="宋体" w:hAnsi="宋体" w:eastAsia="宋体" w:cs="Times New Roman"/>
          <w:bCs/>
          <w:color w:val="auto"/>
          <w:sz w:val="22"/>
          <w:szCs w:val="22"/>
          <w:highlight w:val="none"/>
        </w:rPr>
        <w:t>乙方）：</w:t>
      </w:r>
    </w:p>
    <w:p w14:paraId="084CBEB5">
      <w:pPr>
        <w:keepNext w:val="0"/>
        <w:keepLines w:val="0"/>
        <w:pageBreakBefore w:val="0"/>
        <w:kinsoku/>
        <w:wordWrap/>
        <w:overflowPunct/>
        <w:topLinePunct w:val="0"/>
        <w:autoSpaceDE/>
        <w:autoSpaceDN/>
        <w:bidi w:val="0"/>
        <w:adjustRightInd/>
        <w:spacing w:line="360" w:lineRule="auto"/>
        <w:ind w:firstLine="440" w:firstLineChars="200"/>
        <w:jc w:val="left"/>
        <w:rPr>
          <w:rStyle w:val="9"/>
          <w:rFonts w:hint="eastAsia" w:ascii="宋体" w:hAnsi="宋体" w:eastAsia="宋体" w:cs="Times New Roman"/>
          <w:bCs/>
          <w:color w:val="auto"/>
          <w:sz w:val="22"/>
          <w:szCs w:val="22"/>
          <w:highlight w:val="none"/>
        </w:rPr>
      </w:pPr>
      <w:r>
        <w:rPr>
          <w:rStyle w:val="9"/>
          <w:rFonts w:hint="eastAsia" w:ascii="宋体" w:hAnsi="宋体" w:eastAsia="宋体" w:cs="Times New Roman"/>
          <w:bCs/>
          <w:color w:val="auto"/>
          <w:sz w:val="22"/>
          <w:szCs w:val="22"/>
          <w:highlight w:val="none"/>
        </w:rPr>
        <w:t>根据《中华人民共和国民法典》</w:t>
      </w:r>
      <w:r>
        <w:rPr>
          <w:rStyle w:val="9"/>
          <w:rFonts w:hint="eastAsia" w:ascii="宋体" w:hAnsi="宋体" w:cs="Times New Roman"/>
          <w:bCs/>
          <w:color w:val="auto"/>
          <w:sz w:val="22"/>
          <w:szCs w:val="22"/>
          <w:highlight w:val="none"/>
          <w:lang w:eastAsia="zh-CN"/>
        </w:rPr>
        <w:t>、</w:t>
      </w:r>
      <w:r>
        <w:rPr>
          <w:rStyle w:val="9"/>
          <w:rFonts w:hint="eastAsia" w:ascii="宋体" w:hAnsi="宋体" w:eastAsia="宋体" w:cs="Times New Roman"/>
          <w:bCs/>
          <w:color w:val="auto"/>
          <w:sz w:val="22"/>
          <w:szCs w:val="22"/>
          <w:highlight w:val="none"/>
        </w:rPr>
        <w:t>《中华人民共和国政府采购法》和《中华人民共和国建筑法》及其它有关法律、行政法规，为明确双方在施工过程中的权利、义务，经双方协商自愿签订本合同。</w:t>
      </w:r>
    </w:p>
    <w:p w14:paraId="3F70E985">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left="426"/>
        <w:rPr>
          <w:rFonts w:hint="default" w:ascii="宋体" w:hAnsi="宋体" w:eastAsia="宋体"/>
          <w:b/>
          <w:color w:val="auto"/>
          <w:sz w:val="24"/>
          <w:szCs w:val="24"/>
          <w:highlight w:val="none"/>
          <w:lang w:val="en-US" w:eastAsia="zh-CN"/>
        </w:rPr>
      </w:pPr>
      <w:r>
        <w:rPr>
          <w:rFonts w:hint="eastAsia" w:ascii="宋体" w:hAnsi="宋体"/>
          <w:b/>
          <w:color w:val="auto"/>
          <w:sz w:val="24"/>
          <w:szCs w:val="24"/>
          <w:highlight w:val="none"/>
        </w:rPr>
        <w:t xml:space="preserve">第一条  </w:t>
      </w:r>
      <w:r>
        <w:rPr>
          <w:rFonts w:hint="eastAsia" w:ascii="宋体" w:hAnsi="宋体"/>
          <w:b/>
          <w:color w:val="auto"/>
          <w:sz w:val="24"/>
          <w:szCs w:val="24"/>
          <w:highlight w:val="none"/>
          <w:lang w:val="en-US" w:eastAsia="zh-CN"/>
        </w:rPr>
        <w:t>工程项目</w:t>
      </w:r>
    </w:p>
    <w:p w14:paraId="02A94494">
      <w:pPr>
        <w:tabs>
          <w:tab w:val="left" w:pos="360"/>
        </w:tabs>
        <w:spacing w:before="50" w:after="50" w:line="360" w:lineRule="auto"/>
        <w:ind w:firstLine="440" w:firstLineChars="200"/>
        <w:rPr>
          <w:rFonts w:hint="eastAsia" w:ascii="宋体" w:hAnsi="宋体" w:cs="宋体"/>
          <w:bCs/>
          <w:color w:val="auto"/>
          <w:sz w:val="22"/>
          <w:szCs w:val="22"/>
          <w:highlight w:val="none"/>
          <w:lang w:val="en-US" w:eastAsia="zh-CN"/>
        </w:rPr>
      </w:pPr>
      <w:r>
        <w:rPr>
          <w:rFonts w:hint="eastAsia" w:ascii="宋体" w:hAnsi="宋体" w:cs="宋体"/>
          <w:bCs/>
          <w:color w:val="auto"/>
          <w:sz w:val="22"/>
          <w:szCs w:val="22"/>
          <w:highlight w:val="none"/>
          <w:lang w:val="en-US" w:eastAsia="zh-CN"/>
        </w:rPr>
        <w:t>（一）项目概况：对西安液化天然气(LNG)应急储备气调峰岳华村搬迁安置项目区域围墙进行圈建。拟建围墙长度约1431米(最终以实际圈建长度为准):包含场地清理、基础土方开挖、回填、砖混围墙基础砌筑、涂料粉刷</w:t>
      </w:r>
      <w:bookmarkStart w:id="34" w:name="_GoBack"/>
      <w:bookmarkEnd w:id="34"/>
      <w:r>
        <w:rPr>
          <w:rFonts w:hint="eastAsia" w:ascii="宋体" w:hAnsi="宋体" w:cs="宋体"/>
          <w:bCs/>
          <w:color w:val="auto"/>
          <w:sz w:val="22"/>
          <w:szCs w:val="22"/>
          <w:highlight w:val="none"/>
          <w:lang w:val="en-US" w:eastAsia="zh-CN"/>
        </w:rPr>
        <w:t>。</w:t>
      </w:r>
    </w:p>
    <w:p w14:paraId="5FEC9D1F">
      <w:pPr>
        <w:pStyle w:val="3"/>
        <w:spacing w:line="360" w:lineRule="auto"/>
        <w:ind w:firstLine="440" w:firstLineChars="20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（二）工程内容和施工地点</w:t>
      </w:r>
    </w:p>
    <w:p w14:paraId="2F1A3794">
      <w:pPr>
        <w:pStyle w:val="3"/>
        <w:spacing w:line="360" w:lineRule="auto"/>
        <w:ind w:firstLine="440" w:firstLineChars="20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1.工程内容:房屋建筑施工围墙采用 24 砖墙，每隔5m 设置 37 砖墙立柱，围墙地平向上 400mm 高墙线设置为深灰色(色值:R125  B125  G125),墙线以上部分为浅灰色(色值:R170  B170  G170)，顶部加盖深灰色瓦片(材质为涂料);在规定时限内完成项目任务，无任何遗留问题;按照工作相关规定如期完成新建围墙，全部达到项目交付要求;施工现场无建筑垃圾残留，并达到陕西省、西安市关于治污减霾的相关规定，完成垃圾清运工作，不发生安全责任事故，没有上访、打架、闹事等不稳定事件发生。</w:t>
      </w:r>
    </w:p>
    <w:p w14:paraId="6D6EDF4D">
      <w:pPr>
        <w:pStyle w:val="3"/>
        <w:spacing w:line="360" w:lineRule="auto"/>
        <w:ind w:firstLine="440" w:firstLineChars="200"/>
        <w:rPr>
          <w:rFonts w:hint="default"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2.工程地点:西安市高陵区</w:t>
      </w:r>
    </w:p>
    <w:p w14:paraId="0E5A434F">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firstLine="241" w:firstLineChars="100"/>
        <w:rPr>
          <w:rFonts w:hint="eastAsia" w:ascii="宋体" w:hAnsi="宋体" w:eastAsia="宋体" w:cs="Times New Roman"/>
          <w:b/>
          <w:color w:val="auto"/>
          <w:sz w:val="24"/>
          <w:szCs w:val="24"/>
          <w:highlight w:val="none"/>
        </w:rPr>
      </w:pPr>
      <w:r>
        <w:rPr>
          <w:rFonts w:hint="eastAsia" w:ascii="宋体" w:hAnsi="宋体" w:eastAsia="宋体" w:cs="Times New Roman"/>
          <w:b/>
          <w:color w:val="auto"/>
          <w:sz w:val="24"/>
          <w:szCs w:val="24"/>
          <w:highlight w:val="none"/>
        </w:rPr>
        <w:t xml:space="preserve"> 第二条  工程实施期限</w:t>
      </w:r>
    </w:p>
    <w:p w14:paraId="7A9EE94E">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olor w:val="auto"/>
          <w:sz w:val="22"/>
          <w:szCs w:val="22"/>
          <w:highlight w:val="none"/>
          <w:lang w:eastAsia="zh-CN"/>
        </w:rPr>
      </w:pPr>
      <w:r>
        <w:rPr>
          <w:rFonts w:hint="eastAsia" w:ascii="宋体" w:hAnsi="宋体"/>
          <w:color w:val="auto"/>
          <w:sz w:val="22"/>
          <w:szCs w:val="22"/>
          <w:highlight w:val="none"/>
          <w:lang w:eastAsia="zh-CN"/>
        </w:rPr>
        <w:t>自合同签订之日起15个日历天内竣工。在双方商定的有效日历日内完成本项目，若遇不可抗拒因素，工期顺延。</w:t>
      </w:r>
    </w:p>
    <w:p w14:paraId="5077CF40">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firstLine="301" w:firstLineChars="100"/>
        <w:rPr>
          <w:rFonts w:hint="default" w:ascii="宋体" w:hAnsi="宋体" w:eastAsia="宋体" w:cs="Times New Roman"/>
          <w:b/>
          <w:color w:val="auto"/>
          <w:sz w:val="24"/>
          <w:szCs w:val="24"/>
          <w:highlight w:val="none"/>
          <w:lang w:val="en-US" w:eastAsia="zh-CN"/>
        </w:rPr>
      </w:pPr>
      <w:r>
        <w:rPr>
          <w:rFonts w:hint="eastAsia" w:ascii="宋体" w:hAnsi="宋体"/>
          <w:b/>
          <w:color w:val="auto"/>
          <w:sz w:val="30"/>
          <w:szCs w:val="30"/>
          <w:highlight w:val="none"/>
        </w:rPr>
        <w:t xml:space="preserve"> </w:t>
      </w:r>
      <w:r>
        <w:rPr>
          <w:rFonts w:hint="eastAsia" w:ascii="宋体" w:hAnsi="宋体" w:eastAsia="宋体" w:cs="Times New Roman"/>
          <w:b/>
          <w:color w:val="auto"/>
          <w:sz w:val="24"/>
          <w:szCs w:val="24"/>
          <w:highlight w:val="none"/>
        </w:rPr>
        <w:t xml:space="preserve">第三条  </w:t>
      </w:r>
      <w:r>
        <w:rPr>
          <w:rFonts w:hint="eastAsia" w:ascii="宋体" w:hAnsi="宋体" w:cs="Times New Roman"/>
          <w:b/>
          <w:color w:val="auto"/>
          <w:sz w:val="24"/>
          <w:szCs w:val="24"/>
          <w:highlight w:val="none"/>
          <w:lang w:val="en-US" w:eastAsia="zh-CN"/>
        </w:rPr>
        <w:t>质量标准</w:t>
      </w:r>
    </w:p>
    <w:p w14:paraId="118047EA">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cs="Times New Roman"/>
          <w:color w:val="auto"/>
          <w:sz w:val="22"/>
          <w:szCs w:val="22"/>
          <w:highlight w:val="none"/>
          <w:lang w:val="en-US" w:eastAsia="zh-CN"/>
        </w:rPr>
        <w:t>符合磋商文件要求及</w:t>
      </w:r>
      <w:r>
        <w:rPr>
          <w:rFonts w:hint="eastAsia" w:ascii="宋体" w:hAnsi="宋体" w:eastAsia="宋体" w:cs="Times New Roman"/>
          <w:color w:val="auto"/>
          <w:sz w:val="22"/>
          <w:szCs w:val="22"/>
          <w:highlight w:val="none"/>
        </w:rPr>
        <w:t xml:space="preserve">达到国家及省市相关建设工程质量标准的规定，达到“合格”要求。 </w:t>
      </w:r>
    </w:p>
    <w:p w14:paraId="43F710C3">
      <w:pPr>
        <w:keepNext w:val="0"/>
        <w:keepLines w:val="0"/>
        <w:pageBreakBefore w:val="0"/>
        <w:kinsoku/>
        <w:wordWrap/>
        <w:overflowPunct/>
        <w:topLinePunct w:val="0"/>
        <w:autoSpaceDE/>
        <w:autoSpaceDN/>
        <w:bidi w:val="0"/>
        <w:adjustRightInd/>
        <w:spacing w:line="360" w:lineRule="auto"/>
        <w:ind w:left="-18" w:firstLine="482" w:firstLineChars="200"/>
        <w:rPr>
          <w:rFonts w:hint="eastAsia" w:ascii="宋体" w:hAnsi="宋体" w:eastAsia="宋体"/>
          <w:color w:val="auto"/>
          <w:sz w:val="24"/>
          <w:szCs w:val="24"/>
          <w:highlight w:val="none"/>
          <w:lang w:eastAsia="zh-CN"/>
        </w:rPr>
      </w:pPr>
      <w:r>
        <w:rPr>
          <w:rFonts w:hint="eastAsia" w:ascii="宋体" w:hAnsi="宋体"/>
          <w:b/>
          <w:color w:val="auto"/>
          <w:sz w:val="24"/>
          <w:szCs w:val="24"/>
          <w:highlight w:val="none"/>
        </w:rPr>
        <w:t xml:space="preserve">第四条  </w:t>
      </w:r>
      <w:r>
        <w:rPr>
          <w:rFonts w:hint="eastAsia" w:ascii="宋体" w:hAnsi="宋体"/>
          <w:b/>
          <w:color w:val="auto"/>
          <w:sz w:val="24"/>
          <w:szCs w:val="24"/>
          <w:highlight w:val="none"/>
          <w:lang w:val="en-US" w:eastAsia="zh-CN"/>
        </w:rPr>
        <w:t>质量保证</w:t>
      </w:r>
    </w:p>
    <w:p w14:paraId="0D31C6CA">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lang w:val="en-US" w:eastAsia="zh-CN"/>
        </w:rPr>
      </w:pPr>
      <w:r>
        <w:rPr>
          <w:rFonts w:hint="eastAsia" w:ascii="宋体" w:hAnsi="宋体" w:eastAsia="宋体" w:cs="Times New Roman"/>
          <w:color w:val="auto"/>
          <w:sz w:val="22"/>
          <w:szCs w:val="22"/>
          <w:highlight w:val="none"/>
          <w:lang w:val="en-US" w:eastAsia="zh-CN"/>
        </w:rPr>
        <w:t>（一）所选材料必须符合国家环保等相关标准，满足施工要求。</w:t>
      </w:r>
    </w:p>
    <w:p w14:paraId="18175309">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lang w:val="en-US" w:eastAsia="zh-CN"/>
        </w:rPr>
      </w:pPr>
      <w:r>
        <w:rPr>
          <w:rFonts w:hint="eastAsia" w:ascii="宋体" w:hAnsi="宋体" w:eastAsia="宋体" w:cs="Times New Roman"/>
          <w:color w:val="auto"/>
          <w:sz w:val="22"/>
          <w:szCs w:val="22"/>
          <w:highlight w:val="none"/>
          <w:lang w:val="en-US" w:eastAsia="zh-CN"/>
        </w:rPr>
        <w:t>（二）工程质量符合国家有关规范，确保达到合格。</w:t>
      </w:r>
    </w:p>
    <w:p w14:paraId="5D73A47B">
      <w:pPr>
        <w:keepNext w:val="0"/>
        <w:keepLines w:val="0"/>
        <w:pageBreakBefore w:val="0"/>
        <w:kinsoku/>
        <w:wordWrap/>
        <w:overflowPunct/>
        <w:topLinePunct w:val="0"/>
        <w:autoSpaceDE/>
        <w:autoSpaceDN/>
        <w:bidi w:val="0"/>
        <w:adjustRightInd/>
        <w:spacing w:line="360" w:lineRule="auto"/>
        <w:ind w:firstLine="482" w:firstLineChars="200"/>
        <w:rPr>
          <w:rFonts w:hint="eastAsia" w:ascii="宋体" w:hAnsi="宋体"/>
          <w:color w:val="auto"/>
          <w:sz w:val="24"/>
          <w:szCs w:val="24"/>
          <w:highlight w:val="none"/>
        </w:rPr>
      </w:pPr>
      <w:r>
        <w:rPr>
          <w:rFonts w:hint="eastAsia" w:ascii="宋体" w:hAnsi="宋体"/>
          <w:b/>
          <w:color w:val="auto"/>
          <w:sz w:val="24"/>
          <w:szCs w:val="24"/>
          <w:highlight w:val="none"/>
        </w:rPr>
        <w:t>第五条  合同金额</w:t>
      </w:r>
    </w:p>
    <w:p w14:paraId="19FDD2AA">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u w:val="single"/>
        </w:rPr>
      </w:pPr>
      <w:r>
        <w:rPr>
          <w:rFonts w:hint="eastAsia" w:ascii="宋体" w:hAnsi="宋体"/>
          <w:color w:val="auto"/>
          <w:sz w:val="22"/>
          <w:szCs w:val="22"/>
          <w:highlight w:val="none"/>
        </w:rPr>
        <w:t>合同</w:t>
      </w:r>
      <w:r>
        <w:rPr>
          <w:rFonts w:hint="eastAsia" w:ascii="宋体" w:hAnsi="宋体"/>
          <w:color w:val="auto"/>
          <w:sz w:val="22"/>
          <w:szCs w:val="22"/>
          <w:highlight w:val="none"/>
          <w:lang w:val="en-US" w:eastAsia="zh-CN"/>
        </w:rPr>
        <w:t>单价</w:t>
      </w:r>
      <w:r>
        <w:rPr>
          <w:rFonts w:hint="eastAsia" w:ascii="宋体" w:hAnsi="宋体"/>
          <w:color w:val="auto"/>
          <w:sz w:val="22"/>
          <w:szCs w:val="22"/>
          <w:highlight w:val="none"/>
        </w:rPr>
        <w:t xml:space="preserve">： </w:t>
      </w:r>
      <w:r>
        <w:rPr>
          <w:rFonts w:hint="eastAsia" w:ascii="宋体" w:hAnsi="宋体"/>
          <w:color w:val="auto"/>
          <w:sz w:val="22"/>
          <w:szCs w:val="22"/>
          <w:highlight w:val="none"/>
          <w:u w:val="single"/>
        </w:rPr>
        <w:t xml:space="preserve">   </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u w:val="single"/>
        </w:rPr>
        <w:t xml:space="preserve">      </w:t>
      </w:r>
    </w:p>
    <w:p w14:paraId="31224E65">
      <w:pPr>
        <w:pStyle w:val="5"/>
        <w:ind w:left="0" w:leftChars="0" w:firstLine="440" w:firstLineChars="200"/>
        <w:rPr>
          <w:rFonts w:hint="default" w:ascii="宋体" w:hAnsi="宋体" w:eastAsia="宋体" w:cs="Times New Roman"/>
          <w:color w:val="auto"/>
          <w:kern w:val="2"/>
          <w:sz w:val="22"/>
          <w:szCs w:val="22"/>
          <w:highlight w:val="none"/>
          <w:lang w:val="en-US" w:eastAsia="zh-CN" w:bidi="ar-SA"/>
        </w:rPr>
      </w:pPr>
      <w:r>
        <w:rPr>
          <w:rFonts w:hint="eastAsia" w:ascii="宋体" w:hAnsi="宋体" w:eastAsia="宋体" w:cs="Times New Roman"/>
          <w:color w:val="auto"/>
          <w:kern w:val="2"/>
          <w:sz w:val="22"/>
          <w:szCs w:val="22"/>
          <w:highlight w:val="none"/>
          <w:lang w:val="en-US" w:eastAsia="zh-CN" w:bidi="ar-SA"/>
        </w:rPr>
        <w:t xml:space="preserve">合同价款包括但不限于以下费用：                                 </w:t>
      </w:r>
    </w:p>
    <w:p w14:paraId="0A071995">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firstLine="241" w:firstLineChars="100"/>
        <w:rPr>
          <w:rFonts w:hint="eastAsia" w:ascii="宋体" w:hAnsi="宋体"/>
          <w:color w:val="auto"/>
          <w:sz w:val="24"/>
          <w:szCs w:val="24"/>
          <w:highlight w:val="none"/>
        </w:rPr>
      </w:pPr>
      <w:r>
        <w:rPr>
          <w:rFonts w:hint="eastAsia" w:ascii="宋体" w:hAnsi="宋体"/>
          <w:b/>
          <w:color w:val="auto"/>
          <w:sz w:val="24"/>
          <w:szCs w:val="24"/>
          <w:highlight w:val="none"/>
        </w:rPr>
        <w:t xml:space="preserve"> 第六条  款项结算</w:t>
      </w:r>
    </w:p>
    <w:p w14:paraId="513158B6">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rPr>
        <w:t>1</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付款比例：</w:t>
      </w:r>
    </w:p>
    <w:p w14:paraId="1E2D2560">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lang w:val="en-US" w:eastAsia="zh-CN"/>
        </w:rPr>
      </w:pPr>
      <w:r>
        <w:rPr>
          <w:rFonts w:hint="eastAsia" w:ascii="宋体" w:hAnsi="宋体"/>
          <w:color w:val="auto"/>
          <w:sz w:val="22"/>
          <w:szCs w:val="22"/>
          <w:highlight w:val="none"/>
          <w:lang w:val="en-US" w:eastAsia="zh-CN"/>
        </w:rPr>
        <w:t>(1)最终根据实际工程量与中标单价据实结算，结算金额以审计结果为准；本项目结算金额的总计高于预算金额时以本项目预算金额作为结算金额。结算金额低于预算金额时据实结算。</w:t>
      </w:r>
    </w:p>
    <w:p w14:paraId="31FD2A37">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lang w:val="en-US" w:eastAsia="zh-CN"/>
        </w:rPr>
      </w:pPr>
      <w:r>
        <w:rPr>
          <w:rFonts w:hint="eastAsia" w:ascii="宋体" w:hAnsi="宋体" w:eastAsia="宋体" w:cs="Times New Roman"/>
          <w:color w:val="auto"/>
          <w:sz w:val="22"/>
          <w:szCs w:val="22"/>
          <w:highlight w:val="none"/>
          <w:lang w:val="en-US" w:eastAsia="zh-CN"/>
        </w:rPr>
        <w:t>(2)付款方式:以双方认可的工程结算书载明的实际围墙圈建量(米)为计算单位，合</w:t>
      </w:r>
    </w:p>
    <w:p w14:paraId="0CE131FB">
      <w:pPr>
        <w:keepNext w:val="0"/>
        <w:keepLines w:val="0"/>
        <w:pageBreakBefore w:val="0"/>
        <w:kinsoku/>
        <w:wordWrap/>
        <w:overflowPunct/>
        <w:topLinePunct w:val="0"/>
        <w:autoSpaceDE/>
        <w:autoSpaceDN/>
        <w:bidi w:val="0"/>
        <w:adjustRightInd/>
        <w:spacing w:line="360" w:lineRule="auto"/>
        <w:rPr>
          <w:rFonts w:hint="eastAsia" w:ascii="宋体" w:hAnsi="宋体" w:eastAsia="宋体" w:cs="Times New Roman"/>
          <w:color w:val="auto"/>
          <w:sz w:val="22"/>
          <w:szCs w:val="22"/>
          <w:highlight w:val="none"/>
          <w:lang w:val="en-US" w:eastAsia="zh-CN"/>
        </w:rPr>
      </w:pPr>
      <w:r>
        <w:rPr>
          <w:rFonts w:hint="eastAsia" w:ascii="宋体" w:hAnsi="宋体" w:eastAsia="宋体" w:cs="Times New Roman"/>
          <w:color w:val="auto"/>
          <w:sz w:val="22"/>
          <w:szCs w:val="22"/>
          <w:highlight w:val="none"/>
          <w:lang w:val="en-US" w:eastAsia="zh-CN"/>
        </w:rPr>
        <w:t>同签订后支付合同价款的30%;围墙圈建工作完成且验收合格后支付至合同价款的70%;该工程验收完成后需报请审计局进行审计，审计报告出具后10个工作日内甲方向乙方付清尾款，最终以审计单位出具的审计价格予以结清尾款。</w:t>
      </w:r>
    </w:p>
    <w:p w14:paraId="7ADB265D">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lang w:val="en-US" w:eastAsia="zh-CN"/>
        </w:rPr>
      </w:pPr>
      <w:r>
        <w:rPr>
          <w:rFonts w:hint="eastAsia" w:ascii="宋体" w:hAnsi="宋体" w:eastAsia="宋体" w:cs="Times New Roman"/>
          <w:color w:val="auto"/>
          <w:sz w:val="22"/>
          <w:szCs w:val="22"/>
          <w:highlight w:val="none"/>
          <w:lang w:val="en-US" w:eastAsia="zh-CN"/>
        </w:rPr>
        <w:t>注:每次付款前乙方需向甲方提供符合税务要求的等额发票。</w:t>
      </w:r>
    </w:p>
    <w:p w14:paraId="120EDA88">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2</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结算方式：银行转账。</w:t>
      </w:r>
    </w:p>
    <w:p w14:paraId="55FFE3B1">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firstLine="241" w:firstLineChars="100"/>
        <w:rPr>
          <w:rFonts w:hint="eastAsia" w:ascii="宋体" w:hAnsi="宋体"/>
          <w:b/>
          <w:color w:val="auto"/>
          <w:sz w:val="24"/>
          <w:szCs w:val="24"/>
          <w:highlight w:val="none"/>
        </w:rPr>
      </w:pPr>
      <w:r>
        <w:rPr>
          <w:rFonts w:hint="eastAsia" w:ascii="宋体" w:hAnsi="宋体"/>
          <w:b/>
          <w:color w:val="auto"/>
          <w:sz w:val="24"/>
          <w:szCs w:val="24"/>
          <w:highlight w:val="none"/>
        </w:rPr>
        <w:t xml:space="preserve"> 第</w:t>
      </w:r>
      <w:r>
        <w:rPr>
          <w:rFonts w:hint="eastAsia" w:ascii="宋体" w:hAnsi="宋体"/>
          <w:b/>
          <w:color w:val="auto"/>
          <w:sz w:val="24"/>
          <w:szCs w:val="24"/>
          <w:highlight w:val="none"/>
          <w:lang w:val="en-US" w:eastAsia="zh-CN"/>
        </w:rPr>
        <w:t>七</w:t>
      </w:r>
      <w:r>
        <w:rPr>
          <w:rFonts w:hint="eastAsia" w:ascii="宋体" w:hAnsi="宋体"/>
          <w:b/>
          <w:color w:val="auto"/>
          <w:sz w:val="24"/>
          <w:szCs w:val="24"/>
          <w:highlight w:val="none"/>
        </w:rPr>
        <w:t xml:space="preserve">条  </w:t>
      </w:r>
      <w:r>
        <w:rPr>
          <w:rFonts w:ascii="宋体" w:hAnsi="宋体"/>
          <w:b/>
          <w:color w:val="auto"/>
          <w:sz w:val="24"/>
          <w:szCs w:val="24"/>
          <w:highlight w:val="none"/>
        </w:rPr>
        <w:t>甲方的权利和义务</w:t>
      </w:r>
    </w:p>
    <w:p w14:paraId="62A1283B">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1</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甲方负责施工场地的提供，排除施工障碍的协调。</w:t>
      </w:r>
    </w:p>
    <w:p w14:paraId="6BF9648D">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2</w:t>
      </w:r>
      <w:r>
        <w:rPr>
          <w:rFonts w:hint="eastAsia" w:ascii="宋体" w:hAnsi="宋体"/>
          <w:color w:val="auto"/>
          <w:sz w:val="22"/>
          <w:szCs w:val="22"/>
          <w:highlight w:val="none"/>
          <w:lang w:eastAsia="zh-CN"/>
        </w:rPr>
        <w:t>.</w:t>
      </w:r>
      <w:r>
        <w:rPr>
          <w:rFonts w:hint="eastAsia" w:ascii="宋体" w:hAnsi="宋体"/>
          <w:color w:val="auto"/>
          <w:sz w:val="22"/>
          <w:szCs w:val="22"/>
          <w:highlight w:val="none"/>
        </w:rPr>
        <w:t>组织设计、设计变更及现场签证，工程结算的审定等工作。</w:t>
      </w:r>
    </w:p>
    <w:p w14:paraId="2FFC1BE0">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3</w:t>
      </w:r>
      <w:r>
        <w:rPr>
          <w:rFonts w:hint="eastAsia" w:ascii="宋体" w:hAnsi="宋体"/>
          <w:color w:val="auto"/>
          <w:sz w:val="22"/>
          <w:szCs w:val="22"/>
          <w:highlight w:val="none"/>
          <w:lang w:eastAsia="zh-CN"/>
        </w:rPr>
        <w:t>.</w:t>
      </w:r>
      <w:r>
        <w:rPr>
          <w:rFonts w:hint="eastAsia" w:ascii="宋体" w:hAnsi="宋体"/>
          <w:color w:val="auto"/>
          <w:sz w:val="22"/>
          <w:szCs w:val="22"/>
          <w:highlight w:val="none"/>
        </w:rPr>
        <w:t>对工程进度、质量进行监督检查。</w:t>
      </w:r>
    </w:p>
    <w:p w14:paraId="6793D149">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4</w:t>
      </w:r>
      <w:r>
        <w:rPr>
          <w:rFonts w:hint="eastAsia" w:ascii="宋体" w:hAnsi="宋体"/>
          <w:color w:val="auto"/>
          <w:sz w:val="22"/>
          <w:szCs w:val="22"/>
          <w:highlight w:val="none"/>
          <w:lang w:eastAsia="zh-CN"/>
        </w:rPr>
        <w:t>.</w:t>
      </w:r>
      <w:r>
        <w:rPr>
          <w:rFonts w:hint="eastAsia" w:ascii="宋体" w:hAnsi="宋体"/>
          <w:color w:val="auto"/>
          <w:sz w:val="22"/>
          <w:szCs w:val="22"/>
          <w:highlight w:val="none"/>
        </w:rPr>
        <w:t>组织有关单位对工程进行竣工验收。</w:t>
      </w:r>
    </w:p>
    <w:p w14:paraId="10B71EAB">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5</w:t>
      </w:r>
      <w:r>
        <w:rPr>
          <w:rFonts w:hint="eastAsia" w:ascii="宋体" w:hAnsi="宋体"/>
          <w:color w:val="auto"/>
          <w:sz w:val="22"/>
          <w:szCs w:val="22"/>
          <w:highlight w:val="none"/>
          <w:lang w:eastAsia="zh-CN"/>
        </w:rPr>
        <w:t>.</w:t>
      </w:r>
      <w:r>
        <w:rPr>
          <w:rFonts w:hint="eastAsia" w:ascii="宋体" w:hAnsi="宋体"/>
          <w:color w:val="auto"/>
          <w:sz w:val="22"/>
          <w:szCs w:val="22"/>
          <w:highlight w:val="none"/>
        </w:rPr>
        <w:t>按时支付工程款。</w:t>
      </w:r>
    </w:p>
    <w:p w14:paraId="6B541F37">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lang w:val="en-US" w:eastAsia="zh-CN"/>
        </w:rPr>
        <w:t>6</w:t>
      </w:r>
      <w:r>
        <w:rPr>
          <w:rFonts w:hint="eastAsia" w:ascii="宋体" w:hAnsi="宋体"/>
          <w:color w:val="auto"/>
          <w:sz w:val="22"/>
          <w:szCs w:val="22"/>
          <w:highlight w:val="none"/>
        </w:rPr>
        <w:t>.</w:t>
      </w:r>
      <w:r>
        <w:rPr>
          <w:rFonts w:ascii="宋体" w:hAnsi="宋体"/>
          <w:color w:val="auto"/>
          <w:sz w:val="22"/>
          <w:szCs w:val="22"/>
          <w:highlight w:val="none"/>
        </w:rPr>
        <w:t>国家法律、法规所规定由甲方承担的其它责任。</w:t>
      </w:r>
    </w:p>
    <w:p w14:paraId="67F748CA">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firstLine="241" w:firstLineChars="100"/>
        <w:rPr>
          <w:rFonts w:hint="eastAsia" w:ascii="宋体" w:hAnsi="宋体"/>
          <w:b/>
          <w:color w:val="auto"/>
          <w:sz w:val="24"/>
          <w:szCs w:val="24"/>
          <w:highlight w:val="none"/>
        </w:rPr>
      </w:pPr>
      <w:r>
        <w:rPr>
          <w:rFonts w:hint="eastAsia" w:ascii="宋体" w:hAnsi="宋体"/>
          <w:b/>
          <w:color w:val="auto"/>
          <w:sz w:val="24"/>
          <w:szCs w:val="24"/>
          <w:highlight w:val="none"/>
        </w:rPr>
        <w:t xml:space="preserve"> 第</w:t>
      </w:r>
      <w:r>
        <w:rPr>
          <w:rFonts w:hint="eastAsia" w:ascii="宋体" w:hAnsi="宋体"/>
          <w:b/>
          <w:color w:val="auto"/>
          <w:sz w:val="24"/>
          <w:szCs w:val="24"/>
          <w:highlight w:val="none"/>
          <w:lang w:eastAsia="zh-CN"/>
        </w:rPr>
        <w:t>八</w:t>
      </w:r>
      <w:r>
        <w:rPr>
          <w:rFonts w:hint="eastAsia" w:ascii="宋体" w:hAnsi="宋体"/>
          <w:b/>
          <w:color w:val="auto"/>
          <w:sz w:val="24"/>
          <w:szCs w:val="24"/>
          <w:highlight w:val="none"/>
        </w:rPr>
        <w:t xml:space="preserve">条  </w:t>
      </w:r>
      <w:r>
        <w:rPr>
          <w:rFonts w:ascii="宋体" w:hAnsi="宋体"/>
          <w:b/>
          <w:color w:val="auto"/>
          <w:sz w:val="24"/>
          <w:szCs w:val="24"/>
          <w:highlight w:val="none"/>
        </w:rPr>
        <w:t>乙方的权利和义务</w:t>
      </w:r>
    </w:p>
    <w:p w14:paraId="5F60F650">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1</w:t>
      </w:r>
      <w:r>
        <w:rPr>
          <w:rFonts w:hint="eastAsia" w:ascii="宋体" w:hAnsi="宋体"/>
          <w:color w:val="auto"/>
          <w:sz w:val="22"/>
          <w:szCs w:val="22"/>
          <w:highlight w:val="none"/>
        </w:rPr>
        <w:t>.</w:t>
      </w:r>
      <w:r>
        <w:rPr>
          <w:rFonts w:ascii="宋体" w:hAnsi="宋体"/>
          <w:color w:val="auto"/>
          <w:sz w:val="22"/>
          <w:szCs w:val="22"/>
          <w:highlight w:val="none"/>
        </w:rPr>
        <w:t>根据本合同的规定向甲方收取相关</w:t>
      </w:r>
      <w:r>
        <w:rPr>
          <w:rFonts w:hint="eastAsia" w:ascii="宋体" w:hAnsi="宋体"/>
          <w:color w:val="auto"/>
          <w:sz w:val="22"/>
          <w:szCs w:val="22"/>
          <w:highlight w:val="none"/>
        </w:rPr>
        <w:t>服务</w:t>
      </w:r>
      <w:r>
        <w:rPr>
          <w:rFonts w:ascii="宋体" w:hAnsi="宋体"/>
          <w:color w:val="auto"/>
          <w:sz w:val="22"/>
          <w:szCs w:val="22"/>
          <w:highlight w:val="none"/>
        </w:rPr>
        <w:t>费用，并有权</w:t>
      </w:r>
      <w:r>
        <w:rPr>
          <w:rFonts w:hint="eastAsia" w:ascii="宋体" w:hAnsi="宋体"/>
          <w:color w:val="auto"/>
          <w:sz w:val="22"/>
          <w:szCs w:val="22"/>
          <w:highlight w:val="none"/>
        </w:rPr>
        <w:t>在本项目管理范围内</w:t>
      </w:r>
      <w:r>
        <w:rPr>
          <w:rFonts w:ascii="宋体" w:hAnsi="宋体"/>
          <w:color w:val="auto"/>
          <w:sz w:val="22"/>
          <w:szCs w:val="22"/>
          <w:highlight w:val="none"/>
        </w:rPr>
        <w:t>管理及合理使用。</w:t>
      </w:r>
    </w:p>
    <w:p w14:paraId="0641DCA7">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2</w:t>
      </w:r>
      <w:r>
        <w:rPr>
          <w:rFonts w:hint="eastAsia" w:ascii="宋体" w:hAnsi="宋体"/>
          <w:color w:val="auto"/>
          <w:sz w:val="22"/>
          <w:szCs w:val="22"/>
          <w:highlight w:val="none"/>
        </w:rPr>
        <w:t>.及时向甲方通告本项目服务范围内有关服务的重大事项，及时配合处理投诉。</w:t>
      </w:r>
    </w:p>
    <w:p w14:paraId="5E3A8B92">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3.乙方</w:t>
      </w:r>
      <w:r>
        <w:rPr>
          <w:rFonts w:hint="eastAsia" w:ascii="宋体" w:hAnsi="宋体"/>
          <w:color w:val="auto"/>
          <w:sz w:val="22"/>
          <w:szCs w:val="22"/>
          <w:highlight w:val="none"/>
        </w:rPr>
        <w:t>必须配备足够的人员和充足的机械设备进入实施，确保按时保质保量完成任务。</w:t>
      </w:r>
    </w:p>
    <w:p w14:paraId="27CD049F">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4.</w:t>
      </w:r>
      <w:r>
        <w:rPr>
          <w:rFonts w:hint="eastAsia" w:ascii="宋体" w:hAnsi="宋体"/>
          <w:color w:val="auto"/>
          <w:sz w:val="22"/>
          <w:szCs w:val="22"/>
          <w:highlight w:val="none"/>
        </w:rPr>
        <w:t>必须严密组织，文明施工，作好四周维护及安全环保措施，所需费用由</w:t>
      </w:r>
      <w:r>
        <w:rPr>
          <w:rFonts w:hint="eastAsia" w:ascii="宋体" w:hAnsi="宋体"/>
          <w:color w:val="auto"/>
          <w:sz w:val="22"/>
          <w:szCs w:val="22"/>
          <w:highlight w:val="none"/>
          <w:lang w:val="en-US" w:eastAsia="zh-CN"/>
        </w:rPr>
        <w:t>乙方</w:t>
      </w:r>
      <w:r>
        <w:rPr>
          <w:rFonts w:hint="eastAsia" w:ascii="宋体" w:hAnsi="宋体"/>
          <w:color w:val="auto"/>
          <w:sz w:val="22"/>
          <w:szCs w:val="22"/>
          <w:highlight w:val="none"/>
        </w:rPr>
        <w:t>承担，施工过程必须严格遵守政府相关规定。</w:t>
      </w:r>
    </w:p>
    <w:p w14:paraId="733B967F">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5.</w:t>
      </w:r>
      <w:r>
        <w:rPr>
          <w:rFonts w:hint="eastAsia" w:ascii="宋体" w:hAnsi="宋体"/>
          <w:color w:val="auto"/>
          <w:sz w:val="22"/>
          <w:szCs w:val="22"/>
          <w:highlight w:val="none"/>
        </w:rPr>
        <w:t>严格遵守西安市关于控制扬尘污染、治污减霾的相关规定，并承担一切安全事</w:t>
      </w:r>
    </w:p>
    <w:p w14:paraId="444475CD">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故或违规处罚所带来的经济及法律责任。</w:t>
      </w:r>
    </w:p>
    <w:p w14:paraId="5A8EC3F4">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6.</w:t>
      </w:r>
      <w:r>
        <w:rPr>
          <w:rFonts w:hint="eastAsia" w:ascii="宋体" w:hAnsi="宋体"/>
          <w:color w:val="auto"/>
          <w:sz w:val="22"/>
          <w:szCs w:val="22"/>
          <w:highlight w:val="none"/>
        </w:rPr>
        <w:t>在施工前，</w:t>
      </w:r>
      <w:r>
        <w:rPr>
          <w:rFonts w:hint="eastAsia" w:ascii="宋体" w:hAnsi="宋体"/>
          <w:color w:val="auto"/>
          <w:sz w:val="22"/>
          <w:szCs w:val="22"/>
          <w:highlight w:val="none"/>
          <w:lang w:val="en-US" w:eastAsia="zh-CN"/>
        </w:rPr>
        <w:t>乙方</w:t>
      </w:r>
      <w:r>
        <w:rPr>
          <w:rFonts w:hint="eastAsia" w:ascii="宋体" w:hAnsi="宋体"/>
          <w:color w:val="auto"/>
          <w:sz w:val="22"/>
          <w:szCs w:val="22"/>
          <w:highlight w:val="none"/>
        </w:rPr>
        <w:t>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14:paraId="5B6B3F04">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7.乙方</w:t>
      </w:r>
      <w:r>
        <w:rPr>
          <w:rFonts w:hint="eastAsia" w:ascii="宋体" w:hAnsi="宋体"/>
          <w:color w:val="auto"/>
          <w:sz w:val="22"/>
          <w:szCs w:val="22"/>
          <w:highlight w:val="none"/>
        </w:rPr>
        <w:t>负责现场安全管理工作，并承担全部责任及由此产生的全部费用，现场人员由</w:t>
      </w:r>
      <w:r>
        <w:rPr>
          <w:rFonts w:hint="eastAsia" w:ascii="宋体" w:hAnsi="宋体"/>
          <w:color w:val="auto"/>
          <w:sz w:val="22"/>
          <w:szCs w:val="22"/>
          <w:highlight w:val="none"/>
          <w:lang w:val="en-US" w:eastAsia="zh-CN"/>
        </w:rPr>
        <w:t>乙方</w:t>
      </w:r>
      <w:r>
        <w:rPr>
          <w:rFonts w:hint="eastAsia" w:ascii="宋体" w:hAnsi="宋体"/>
          <w:color w:val="auto"/>
          <w:sz w:val="22"/>
          <w:szCs w:val="22"/>
          <w:highlight w:val="none"/>
        </w:rPr>
        <w:t>按照相关规定办理相关保险事宜。</w:t>
      </w:r>
    </w:p>
    <w:p w14:paraId="7429343D">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lang w:val="en-US" w:eastAsia="zh-CN"/>
        </w:rPr>
        <w:t>8.</w:t>
      </w:r>
      <w:r>
        <w:rPr>
          <w:rFonts w:ascii="宋体" w:hAnsi="宋体"/>
          <w:color w:val="auto"/>
          <w:sz w:val="22"/>
          <w:szCs w:val="22"/>
          <w:highlight w:val="none"/>
        </w:rPr>
        <w:t>接受</w:t>
      </w:r>
      <w:r>
        <w:rPr>
          <w:rFonts w:hint="eastAsia" w:ascii="宋体" w:hAnsi="宋体"/>
          <w:color w:val="auto"/>
          <w:sz w:val="22"/>
          <w:szCs w:val="22"/>
          <w:highlight w:val="none"/>
        </w:rPr>
        <w:t>项目行</w:t>
      </w:r>
      <w:r>
        <w:rPr>
          <w:rFonts w:ascii="宋体" w:hAnsi="宋体"/>
          <w:color w:val="auto"/>
          <w:sz w:val="22"/>
          <w:szCs w:val="22"/>
          <w:highlight w:val="none"/>
        </w:rPr>
        <w:t>业管理部门及政府有关部门的指导，接受甲方的监督。</w:t>
      </w:r>
    </w:p>
    <w:p w14:paraId="3B57CD75">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lang w:val="en-US" w:eastAsia="zh-CN"/>
        </w:rPr>
        <w:t>9.</w:t>
      </w:r>
      <w:r>
        <w:rPr>
          <w:rFonts w:ascii="宋体" w:hAnsi="宋体"/>
          <w:color w:val="auto"/>
          <w:sz w:val="22"/>
          <w:szCs w:val="22"/>
          <w:highlight w:val="none"/>
        </w:rPr>
        <w:t>国家法律、法规所规定由乙方承担的其它责任。</w:t>
      </w:r>
    </w:p>
    <w:p w14:paraId="5CD11427">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firstLine="241" w:firstLineChars="100"/>
        <w:rPr>
          <w:rFonts w:hint="eastAsia" w:ascii="宋体" w:hAnsi="宋体" w:eastAsia="宋体" w:cs="Times New Roman"/>
          <w:b/>
          <w:color w:val="auto"/>
          <w:sz w:val="24"/>
          <w:szCs w:val="24"/>
          <w:highlight w:val="none"/>
        </w:rPr>
      </w:pPr>
      <w:r>
        <w:rPr>
          <w:rFonts w:hint="eastAsia" w:ascii="宋体" w:hAnsi="宋体"/>
          <w:b/>
          <w:color w:val="auto"/>
          <w:sz w:val="24"/>
          <w:szCs w:val="24"/>
          <w:highlight w:val="none"/>
        </w:rPr>
        <w:t>第</w:t>
      </w:r>
      <w:r>
        <w:rPr>
          <w:rFonts w:hint="eastAsia" w:ascii="宋体" w:hAnsi="宋体" w:eastAsia="宋体" w:cs="Times New Roman"/>
          <w:b/>
          <w:color w:val="auto"/>
          <w:sz w:val="24"/>
          <w:szCs w:val="24"/>
          <w:highlight w:val="none"/>
          <w:lang w:val="en-US" w:eastAsia="zh-CN"/>
        </w:rPr>
        <w:t>九</w:t>
      </w:r>
      <w:r>
        <w:rPr>
          <w:rFonts w:hint="eastAsia" w:ascii="宋体" w:hAnsi="宋体"/>
          <w:b/>
          <w:color w:val="auto"/>
          <w:sz w:val="24"/>
          <w:szCs w:val="24"/>
          <w:highlight w:val="none"/>
        </w:rPr>
        <w:t>条</w:t>
      </w:r>
      <w:r>
        <w:rPr>
          <w:rFonts w:hint="eastAsia" w:ascii="宋体" w:hAnsi="宋体" w:eastAsia="宋体" w:cs="Times New Roman"/>
          <w:b/>
          <w:color w:val="auto"/>
          <w:sz w:val="24"/>
          <w:szCs w:val="24"/>
          <w:highlight w:val="none"/>
        </w:rPr>
        <w:t>、组成合同的文件</w:t>
      </w:r>
    </w:p>
    <w:p w14:paraId="7CC7C26E">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1．组成本合同的文件包括：</w:t>
      </w:r>
    </w:p>
    <w:p w14:paraId="661A760D">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(1)本合同书</w:t>
      </w:r>
    </w:p>
    <w:p w14:paraId="10A61BE6">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(2)</w:t>
      </w:r>
      <w:r>
        <w:rPr>
          <w:rFonts w:hint="eastAsia" w:ascii="宋体" w:hAnsi="宋体" w:eastAsia="宋体" w:cs="Times New Roman"/>
          <w:color w:val="auto"/>
          <w:sz w:val="22"/>
          <w:szCs w:val="22"/>
          <w:highlight w:val="none"/>
          <w:lang w:val="en-US" w:eastAsia="zh-CN"/>
        </w:rPr>
        <w:t>成交</w:t>
      </w:r>
      <w:r>
        <w:rPr>
          <w:rFonts w:hint="eastAsia" w:ascii="宋体" w:hAnsi="宋体" w:eastAsia="宋体" w:cs="Times New Roman"/>
          <w:color w:val="auto"/>
          <w:sz w:val="22"/>
          <w:szCs w:val="22"/>
          <w:highlight w:val="none"/>
        </w:rPr>
        <w:t>通知书</w:t>
      </w:r>
    </w:p>
    <w:p w14:paraId="7A0DADE0">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(3)</w:t>
      </w:r>
      <w:r>
        <w:rPr>
          <w:rFonts w:hint="eastAsia" w:ascii="宋体" w:hAnsi="宋体" w:eastAsia="宋体" w:cs="Times New Roman"/>
          <w:color w:val="auto"/>
          <w:sz w:val="22"/>
          <w:szCs w:val="22"/>
          <w:highlight w:val="none"/>
          <w:lang w:eastAsia="zh-CN"/>
        </w:rPr>
        <w:t>磋商</w:t>
      </w:r>
      <w:r>
        <w:rPr>
          <w:rFonts w:hint="eastAsia" w:ascii="宋体" w:hAnsi="宋体" w:eastAsia="宋体" w:cs="Times New Roman"/>
          <w:color w:val="auto"/>
          <w:sz w:val="22"/>
          <w:szCs w:val="22"/>
          <w:highlight w:val="none"/>
        </w:rPr>
        <w:t>文件及其附件</w:t>
      </w:r>
    </w:p>
    <w:p w14:paraId="6D3A7E89">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w:t>
      </w:r>
      <w:r>
        <w:rPr>
          <w:rFonts w:hint="eastAsia" w:ascii="宋体" w:hAnsi="宋体" w:eastAsia="宋体" w:cs="Times New Roman"/>
          <w:color w:val="auto"/>
          <w:sz w:val="22"/>
          <w:szCs w:val="22"/>
          <w:highlight w:val="none"/>
          <w:lang w:val="en-US" w:eastAsia="zh-CN"/>
        </w:rPr>
        <w:t>4</w:t>
      </w:r>
      <w:r>
        <w:rPr>
          <w:rFonts w:hint="eastAsia" w:ascii="宋体" w:hAnsi="宋体" w:eastAsia="宋体" w:cs="Times New Roman"/>
          <w:color w:val="auto"/>
          <w:sz w:val="22"/>
          <w:szCs w:val="22"/>
          <w:highlight w:val="none"/>
        </w:rPr>
        <w:t>)</w:t>
      </w:r>
      <w:r>
        <w:rPr>
          <w:rFonts w:hint="eastAsia" w:ascii="宋体" w:hAnsi="宋体" w:eastAsia="宋体" w:cs="Times New Roman"/>
          <w:color w:val="auto"/>
          <w:sz w:val="22"/>
          <w:szCs w:val="22"/>
          <w:highlight w:val="none"/>
          <w:lang w:eastAsia="zh-CN"/>
        </w:rPr>
        <w:t>磋商报价</w:t>
      </w:r>
    </w:p>
    <w:p w14:paraId="77F49915">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lang w:val="en-US" w:eastAsia="zh-CN"/>
        </w:rPr>
        <w:t>(5)</w:t>
      </w:r>
      <w:r>
        <w:rPr>
          <w:rFonts w:hint="eastAsia" w:ascii="宋体" w:hAnsi="宋体" w:eastAsia="宋体" w:cs="Times New Roman"/>
          <w:color w:val="auto"/>
          <w:sz w:val="22"/>
          <w:szCs w:val="22"/>
          <w:highlight w:val="none"/>
        </w:rPr>
        <w:t>技术标准和要求</w:t>
      </w:r>
    </w:p>
    <w:p w14:paraId="407EF5D8">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lang w:val="en-US" w:eastAsia="zh-CN"/>
        </w:rPr>
        <w:t>(6)</w:t>
      </w:r>
      <w:r>
        <w:rPr>
          <w:rFonts w:hint="eastAsia" w:ascii="宋体" w:hAnsi="宋体" w:eastAsia="宋体" w:cs="Times New Roman"/>
          <w:color w:val="auto"/>
          <w:sz w:val="22"/>
          <w:szCs w:val="22"/>
          <w:highlight w:val="none"/>
        </w:rPr>
        <w:t>其他合同文件。</w:t>
      </w:r>
    </w:p>
    <w:p w14:paraId="5F6BC8A9">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2．双方有关工程的洽商、变更等书面协议或文件、补充协议书均视为本合同的组成部分。</w:t>
      </w:r>
    </w:p>
    <w:p w14:paraId="3F6A85D8">
      <w:pPr>
        <w:keepNext w:val="0"/>
        <w:keepLines w:val="0"/>
        <w:pageBreakBefore w:val="0"/>
        <w:tabs>
          <w:tab w:val="left" w:pos="1379"/>
        </w:tabs>
        <w:kinsoku/>
        <w:wordWrap/>
        <w:overflowPunct/>
        <w:topLinePunct w:val="0"/>
        <w:autoSpaceDE/>
        <w:autoSpaceDN/>
        <w:bidi w:val="0"/>
        <w:adjustRightInd/>
        <w:spacing w:before="120" w:beforeLines="50" w:after="120" w:afterLines="50" w:line="360" w:lineRule="auto"/>
        <w:ind w:firstLine="241" w:firstLineChars="100"/>
        <w:rPr>
          <w:rFonts w:hint="eastAsia" w:ascii="宋体" w:hAnsi="宋体"/>
          <w:b/>
          <w:color w:val="auto"/>
          <w:sz w:val="24"/>
          <w:szCs w:val="24"/>
          <w:highlight w:val="none"/>
        </w:rPr>
      </w:pPr>
      <w:r>
        <w:rPr>
          <w:rFonts w:hint="eastAsia" w:ascii="宋体" w:hAnsi="宋体"/>
          <w:b/>
          <w:color w:val="auto"/>
          <w:sz w:val="24"/>
          <w:szCs w:val="24"/>
          <w:highlight w:val="none"/>
        </w:rPr>
        <w:t xml:space="preserve"> 第</w:t>
      </w:r>
      <w:r>
        <w:rPr>
          <w:rFonts w:hint="eastAsia" w:ascii="宋体" w:hAnsi="宋体"/>
          <w:b/>
          <w:color w:val="auto"/>
          <w:sz w:val="24"/>
          <w:szCs w:val="24"/>
          <w:highlight w:val="none"/>
          <w:lang w:val="en-US" w:eastAsia="zh-CN"/>
        </w:rPr>
        <w:t>十</w:t>
      </w:r>
      <w:r>
        <w:rPr>
          <w:rFonts w:hint="eastAsia" w:ascii="宋体" w:hAnsi="宋体"/>
          <w:b/>
          <w:color w:val="auto"/>
          <w:sz w:val="24"/>
          <w:szCs w:val="24"/>
          <w:highlight w:val="none"/>
        </w:rPr>
        <w:t xml:space="preserve">条  </w:t>
      </w:r>
      <w:r>
        <w:rPr>
          <w:rFonts w:ascii="宋体" w:hAnsi="宋体"/>
          <w:b/>
          <w:color w:val="auto"/>
          <w:sz w:val="24"/>
          <w:szCs w:val="24"/>
          <w:highlight w:val="none"/>
        </w:rPr>
        <w:t>违约责任</w:t>
      </w:r>
    </w:p>
    <w:p w14:paraId="33188205">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1.</w:t>
      </w:r>
      <w:r>
        <w:rPr>
          <w:rFonts w:ascii="宋体" w:hAnsi="宋体"/>
          <w:color w:val="auto"/>
          <w:sz w:val="22"/>
          <w:szCs w:val="22"/>
          <w:highlight w:val="none"/>
        </w:rPr>
        <w:t>甲乙双方必须遵守本合同并执行合同中的各项规定，保证</w:t>
      </w:r>
      <w:r>
        <w:rPr>
          <w:rFonts w:hint="eastAsia" w:ascii="宋体" w:hAnsi="宋体"/>
          <w:color w:val="auto"/>
          <w:sz w:val="22"/>
          <w:szCs w:val="22"/>
          <w:highlight w:val="none"/>
        </w:rPr>
        <w:t>本</w:t>
      </w:r>
      <w:r>
        <w:rPr>
          <w:rFonts w:ascii="宋体" w:hAnsi="宋体"/>
          <w:color w:val="auto"/>
          <w:sz w:val="22"/>
          <w:szCs w:val="22"/>
          <w:highlight w:val="none"/>
        </w:rPr>
        <w:t>合同的正常</w:t>
      </w:r>
      <w:r>
        <w:rPr>
          <w:rFonts w:hint="eastAsia" w:ascii="宋体" w:hAnsi="宋体"/>
          <w:color w:val="auto"/>
          <w:sz w:val="22"/>
          <w:szCs w:val="22"/>
          <w:highlight w:val="none"/>
        </w:rPr>
        <w:t>履行</w:t>
      </w:r>
      <w:r>
        <w:rPr>
          <w:rFonts w:ascii="宋体" w:hAnsi="宋体"/>
          <w:color w:val="auto"/>
          <w:sz w:val="22"/>
          <w:szCs w:val="22"/>
          <w:highlight w:val="none"/>
        </w:rPr>
        <w:t>。</w:t>
      </w:r>
    </w:p>
    <w:p w14:paraId="7638B4DC">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2.</w:t>
      </w:r>
      <w:r>
        <w:rPr>
          <w:rFonts w:ascii="宋体" w:hAnsi="宋体"/>
          <w:color w:val="auto"/>
          <w:sz w:val="22"/>
          <w:szCs w:val="22"/>
          <w:highlight w:val="none"/>
        </w:rPr>
        <w:t>如因乙方</w:t>
      </w:r>
      <w:r>
        <w:rPr>
          <w:rFonts w:hint="eastAsia" w:ascii="宋体" w:hAnsi="宋体"/>
          <w:color w:val="auto"/>
          <w:sz w:val="22"/>
          <w:szCs w:val="22"/>
          <w:highlight w:val="none"/>
        </w:rPr>
        <w:t>工作人员在履行职务过程中的</w:t>
      </w:r>
      <w:r>
        <w:rPr>
          <w:rFonts w:ascii="宋体" w:hAnsi="宋体"/>
          <w:color w:val="auto"/>
          <w:sz w:val="22"/>
          <w:szCs w:val="22"/>
          <w:highlight w:val="none"/>
        </w:rPr>
        <w:t>的疏忽、失职、过错等</w:t>
      </w:r>
      <w:r>
        <w:rPr>
          <w:rFonts w:hint="eastAsia" w:ascii="宋体" w:hAnsi="宋体"/>
          <w:color w:val="auto"/>
          <w:sz w:val="22"/>
          <w:szCs w:val="22"/>
          <w:highlight w:val="none"/>
        </w:rPr>
        <w:t>故意或者过失</w:t>
      </w:r>
      <w:r>
        <w:rPr>
          <w:rFonts w:ascii="宋体" w:hAnsi="宋体"/>
          <w:color w:val="auto"/>
          <w:sz w:val="22"/>
          <w:szCs w:val="22"/>
          <w:highlight w:val="none"/>
        </w:rPr>
        <w:t>原因给甲方造成损失或侵害，</w:t>
      </w:r>
      <w:r>
        <w:rPr>
          <w:rFonts w:hint="eastAsia" w:ascii="宋体" w:hAnsi="宋体"/>
          <w:color w:val="auto"/>
          <w:sz w:val="22"/>
          <w:szCs w:val="22"/>
          <w:highlight w:val="none"/>
        </w:rPr>
        <w:t>包括但不限于甲方本身的财产损失、由此而导致的甲方对任何第三方的法律责任等，乙方对此均应承担全部的赔偿责任</w:t>
      </w:r>
      <w:r>
        <w:rPr>
          <w:rFonts w:ascii="宋体" w:hAnsi="宋体"/>
          <w:color w:val="auto"/>
          <w:sz w:val="22"/>
          <w:szCs w:val="22"/>
          <w:highlight w:val="none"/>
        </w:rPr>
        <w:t>。</w:t>
      </w:r>
    </w:p>
    <w:p w14:paraId="2103D35D">
      <w:pPr>
        <w:keepNext w:val="0"/>
        <w:keepLines w:val="0"/>
        <w:pageBreakBefore w:val="0"/>
        <w:kinsoku/>
        <w:wordWrap/>
        <w:overflowPunct/>
        <w:topLinePunct w:val="0"/>
        <w:autoSpaceDE/>
        <w:autoSpaceDN/>
        <w:bidi w:val="0"/>
        <w:adjustRightInd/>
        <w:spacing w:before="120" w:beforeLines="50" w:after="120" w:afterLines="50" w:line="360" w:lineRule="auto"/>
        <w:ind w:left="425"/>
        <w:rPr>
          <w:rFonts w:hint="eastAsia" w:ascii="宋体" w:hAnsi="宋体"/>
          <w:b/>
          <w:color w:val="auto"/>
          <w:sz w:val="24"/>
          <w:szCs w:val="24"/>
          <w:highlight w:val="none"/>
        </w:rPr>
      </w:pPr>
      <w:r>
        <w:rPr>
          <w:rFonts w:hint="eastAsia" w:ascii="宋体" w:hAnsi="宋体"/>
          <w:b/>
          <w:color w:val="auto"/>
          <w:sz w:val="24"/>
          <w:szCs w:val="24"/>
          <w:highlight w:val="none"/>
        </w:rPr>
        <w:t>第十一条  不可抗力事件处理</w:t>
      </w:r>
    </w:p>
    <w:p w14:paraId="7739CF1F">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D69BAA3">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rPr>
        <w:t>2.遭受不可抗力一方应在不可抗力事故发生后尽快以书面形式通知另一方；并在事故发生后十（10）个日历日内，将有关部门出具的证明文件、详细情况报告以及不可抗力对合同影响程度的说明用特快专递或挂号信的形式寄给另一方。如果不可抗力影响时间延续二十（20）个日历日以上，双方应通过友好协商在合理的时间内达成进一步履行合同或终止合同的协议。</w:t>
      </w:r>
    </w:p>
    <w:p w14:paraId="7204A798">
      <w:pPr>
        <w:keepNext w:val="0"/>
        <w:keepLines w:val="0"/>
        <w:pageBreakBefore w:val="0"/>
        <w:widowControl/>
        <w:kinsoku/>
        <w:wordWrap/>
        <w:overflowPunct/>
        <w:topLinePunct w:val="0"/>
        <w:autoSpaceDE/>
        <w:autoSpaceDN/>
        <w:bidi w:val="0"/>
        <w:adjustRightInd/>
        <w:spacing w:before="120" w:beforeLines="50" w:after="120" w:afterLines="50" w:line="360" w:lineRule="auto"/>
        <w:jc w:val="left"/>
        <w:rPr>
          <w:rFonts w:hint="eastAsia" w:ascii="宋体" w:hAnsi="宋体" w:cs="宋体"/>
          <w:color w:val="auto"/>
          <w:kern w:val="0"/>
          <w:sz w:val="24"/>
          <w:szCs w:val="24"/>
          <w:highlight w:val="none"/>
        </w:rPr>
      </w:pPr>
      <w:bookmarkStart w:id="0" w:name="_Toc238984980"/>
      <w:bookmarkStart w:id="1" w:name="_Toc239233919"/>
      <w:bookmarkStart w:id="2" w:name="_Toc239568423"/>
      <w:bookmarkStart w:id="3" w:name="_Toc211911353"/>
      <w:bookmarkStart w:id="4" w:name="_Toc211854454"/>
      <w:bookmarkStart w:id="5" w:name="_Toc251768867"/>
      <w:bookmarkStart w:id="6" w:name="_Toc237145411"/>
      <w:bookmarkStart w:id="7" w:name="_Toc225244857"/>
      <w:bookmarkStart w:id="8" w:name="_Toc212019599"/>
      <w:bookmarkStart w:id="9" w:name="_Toc185395254"/>
      <w:bookmarkStart w:id="10" w:name="_Toc247334846"/>
      <w:bookmarkStart w:id="11" w:name="_Toc286993792"/>
      <w:bookmarkStart w:id="12" w:name="_Toc225670756"/>
      <w:bookmarkStart w:id="13" w:name="_Toc241833908"/>
      <w:bookmarkStart w:id="14" w:name="_Toc225654649"/>
      <w:bookmarkStart w:id="15" w:name="_Toc232492933"/>
      <w:r>
        <w:rPr>
          <w:rFonts w:hint="eastAsia" w:ascii="宋体" w:hAnsi="宋体"/>
          <w:b/>
          <w:color w:val="auto"/>
          <w:sz w:val="24"/>
          <w:szCs w:val="24"/>
          <w:highlight w:val="none"/>
        </w:rPr>
        <w:t xml:space="preserve">   第十二条  </w:t>
      </w:r>
      <w:r>
        <w:rPr>
          <w:rFonts w:hint="eastAsia" w:ascii="宋体" w:hAnsi="宋体" w:cs="宋体"/>
          <w:b/>
          <w:color w:val="auto"/>
          <w:kern w:val="0"/>
          <w:sz w:val="24"/>
          <w:szCs w:val="24"/>
          <w:highlight w:val="none"/>
        </w:rPr>
        <w:t>合同的变更和终止</w:t>
      </w:r>
    </w:p>
    <w:p w14:paraId="17CB2FA6">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除《中华人民共和国政府采购法》第49条、第50条第二款规定的情形外，本合同一经签订，甲乙双方不得擅自变更、中止或终止合同。</w:t>
      </w:r>
    </w:p>
    <w:p w14:paraId="22F9581A">
      <w:pPr>
        <w:keepNext w:val="0"/>
        <w:keepLines w:val="0"/>
        <w:pageBreakBefore w:val="0"/>
        <w:kinsoku/>
        <w:wordWrap/>
        <w:overflowPunct/>
        <w:topLinePunct w:val="0"/>
        <w:autoSpaceDE/>
        <w:autoSpaceDN/>
        <w:bidi w:val="0"/>
        <w:adjustRightInd/>
        <w:spacing w:before="120" w:beforeLines="50" w:after="120" w:afterLines="50" w:line="360" w:lineRule="auto"/>
        <w:ind w:left="425"/>
        <w:rPr>
          <w:rFonts w:ascii="宋体" w:hAnsi="宋体"/>
          <w:b/>
          <w:color w:val="auto"/>
          <w:sz w:val="24"/>
          <w:szCs w:val="24"/>
          <w:highlight w:val="none"/>
        </w:rPr>
      </w:pPr>
      <w:r>
        <w:rPr>
          <w:rFonts w:hint="eastAsia" w:ascii="宋体" w:hAnsi="宋体"/>
          <w:b/>
          <w:color w:val="auto"/>
          <w:sz w:val="24"/>
          <w:szCs w:val="24"/>
          <w:highlight w:val="none"/>
        </w:rPr>
        <w:t>第十三条  解</w:t>
      </w:r>
      <w:r>
        <w:rPr>
          <w:rFonts w:ascii="宋体" w:hAnsi="宋体"/>
          <w:b/>
          <w:color w:val="auto"/>
          <w:sz w:val="24"/>
          <w:szCs w:val="24"/>
          <w:highlight w:val="none"/>
        </w:rPr>
        <w:t>决合同纠纷的方式</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6CC3CB64">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1.</w:t>
      </w:r>
      <w:r>
        <w:rPr>
          <w:rFonts w:ascii="宋体" w:hAnsi="宋体"/>
          <w:color w:val="auto"/>
          <w:sz w:val="22"/>
          <w:szCs w:val="22"/>
          <w:highlight w:val="none"/>
        </w:rPr>
        <w:t>在执行本合同中发生的或与本合同有关的争端，双方应通过友好协商解决，经协商在</w:t>
      </w:r>
      <w:r>
        <w:rPr>
          <w:rFonts w:hint="eastAsia" w:ascii="宋体" w:hAnsi="宋体"/>
          <w:color w:val="auto"/>
          <w:sz w:val="22"/>
          <w:szCs w:val="22"/>
          <w:highlight w:val="none"/>
        </w:rPr>
        <w:t>XX</w:t>
      </w:r>
      <w:r>
        <w:rPr>
          <w:rFonts w:ascii="宋体" w:hAnsi="宋体"/>
          <w:color w:val="auto"/>
          <w:sz w:val="22"/>
          <w:szCs w:val="22"/>
          <w:highlight w:val="none"/>
        </w:rPr>
        <w:t>天内不能达成协议时，</w:t>
      </w:r>
      <w:r>
        <w:rPr>
          <w:rFonts w:hint="eastAsia" w:ascii="宋体" w:hAnsi="宋体"/>
          <w:color w:val="auto"/>
          <w:sz w:val="22"/>
          <w:szCs w:val="22"/>
          <w:highlight w:val="none"/>
        </w:rPr>
        <w:t>则采取以下第</w:t>
      </w:r>
      <w:r>
        <w:rPr>
          <w:rFonts w:hint="eastAsia" w:ascii="宋体" w:hAnsi="宋体"/>
          <w:color w:val="auto"/>
          <w:sz w:val="22"/>
          <w:szCs w:val="22"/>
          <w:highlight w:val="none"/>
          <w:u w:val="single"/>
          <w:lang w:eastAsia="zh-CN"/>
        </w:rPr>
        <w:t>（</w:t>
      </w:r>
      <w:r>
        <w:rPr>
          <w:rFonts w:hint="eastAsia" w:ascii="宋体" w:hAnsi="宋体"/>
          <w:color w:val="auto"/>
          <w:sz w:val="22"/>
          <w:szCs w:val="22"/>
          <w:highlight w:val="none"/>
          <w:u w:val="single"/>
          <w:lang w:val="en-US" w:eastAsia="zh-CN"/>
        </w:rPr>
        <w:t>2</w:t>
      </w:r>
      <w:r>
        <w:rPr>
          <w:rFonts w:hint="eastAsia" w:ascii="宋体" w:hAnsi="宋体"/>
          <w:color w:val="auto"/>
          <w:sz w:val="22"/>
          <w:szCs w:val="22"/>
          <w:highlight w:val="none"/>
          <w:u w:val="single"/>
          <w:lang w:eastAsia="zh-CN"/>
        </w:rPr>
        <w:t>）</w:t>
      </w:r>
      <w:r>
        <w:rPr>
          <w:rFonts w:hint="eastAsia" w:ascii="宋体" w:hAnsi="宋体"/>
          <w:color w:val="auto"/>
          <w:sz w:val="22"/>
          <w:szCs w:val="22"/>
          <w:highlight w:val="none"/>
        </w:rPr>
        <w:t>种方式解决争议：</w:t>
      </w:r>
    </w:p>
    <w:p w14:paraId="3BE6D4FF">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（1）向甲方所在地有管辖权的人民法院提起诉讼；</w:t>
      </w:r>
    </w:p>
    <w:p w14:paraId="24D580F3">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（2）向</w:t>
      </w:r>
      <w:r>
        <w:rPr>
          <w:rFonts w:hint="eastAsia" w:ascii="宋体" w:hAnsi="宋体"/>
          <w:color w:val="auto"/>
          <w:sz w:val="22"/>
          <w:szCs w:val="22"/>
          <w:highlight w:val="none"/>
          <w:u w:val="single"/>
          <w:lang w:val="en-US" w:eastAsia="zh-CN"/>
        </w:rPr>
        <w:t>西安市</w:t>
      </w:r>
      <w:r>
        <w:rPr>
          <w:rFonts w:hint="eastAsia" w:ascii="宋体" w:hAnsi="宋体"/>
          <w:color w:val="auto"/>
          <w:sz w:val="22"/>
          <w:szCs w:val="22"/>
          <w:highlight w:val="none"/>
        </w:rPr>
        <w:t>仲裁委员会按其仲裁规则申请仲裁。</w:t>
      </w:r>
    </w:p>
    <w:p w14:paraId="3F582021">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color w:val="auto"/>
          <w:sz w:val="22"/>
          <w:szCs w:val="22"/>
          <w:highlight w:val="none"/>
        </w:rPr>
      </w:pPr>
      <w:r>
        <w:rPr>
          <w:rFonts w:hint="eastAsia" w:ascii="宋体" w:hAnsi="宋体"/>
          <w:color w:val="auto"/>
          <w:sz w:val="22"/>
          <w:szCs w:val="22"/>
          <w:highlight w:val="none"/>
        </w:rPr>
        <w:t>2.在仲裁期间，本合同应继续履行。</w:t>
      </w:r>
    </w:p>
    <w:p w14:paraId="701853C0">
      <w:pPr>
        <w:keepNext w:val="0"/>
        <w:keepLines w:val="0"/>
        <w:pageBreakBefore w:val="0"/>
        <w:tabs>
          <w:tab w:val="left" w:pos="0"/>
        </w:tabs>
        <w:kinsoku/>
        <w:wordWrap/>
        <w:overflowPunct/>
        <w:topLinePunct w:val="0"/>
        <w:autoSpaceDE/>
        <w:autoSpaceDN/>
        <w:bidi w:val="0"/>
        <w:adjustRightInd/>
        <w:spacing w:line="360" w:lineRule="auto"/>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第十四条  验收</w:t>
      </w:r>
    </w:p>
    <w:p w14:paraId="558EF7E2">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rPr>
        <w:t>1</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成交单位完工后，书面通知采购人进行验收，验收合格作为工程的最终认可。</w:t>
      </w:r>
    </w:p>
    <w:p w14:paraId="44960019">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rPr>
        <w:t>2</w:t>
      </w:r>
      <w:r>
        <w:rPr>
          <w:rFonts w:hint="eastAsia" w:ascii="宋体" w:hAnsi="宋体"/>
          <w:color w:val="auto"/>
          <w:sz w:val="22"/>
          <w:szCs w:val="22"/>
          <w:highlight w:val="none"/>
          <w:lang w:val="en-US" w:eastAsia="zh-CN"/>
        </w:rPr>
        <w:t>.</w:t>
      </w:r>
      <w:r>
        <w:rPr>
          <w:rFonts w:hint="eastAsia" w:ascii="宋体" w:hAnsi="宋体"/>
          <w:color w:val="auto"/>
          <w:sz w:val="22"/>
          <w:szCs w:val="22"/>
          <w:highlight w:val="none"/>
        </w:rPr>
        <w:t>验收依据：</w:t>
      </w:r>
    </w:p>
    <w:p w14:paraId="56628E90">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rPr>
        <w:t>2-1、工程合同</w:t>
      </w:r>
    </w:p>
    <w:p w14:paraId="5145A926">
      <w:pPr>
        <w:keepNext w:val="0"/>
        <w:keepLines w:val="0"/>
        <w:pageBreakBefore w:val="0"/>
        <w:kinsoku/>
        <w:wordWrap/>
        <w:overflowPunct/>
        <w:topLinePunct w:val="0"/>
        <w:autoSpaceDE/>
        <w:autoSpaceDN/>
        <w:bidi w:val="0"/>
        <w:adjustRightInd/>
        <w:spacing w:line="360" w:lineRule="auto"/>
        <w:ind w:left="-18" w:firstLine="440" w:firstLineChars="200"/>
        <w:rPr>
          <w:rFonts w:ascii="宋体" w:hAnsi="宋体"/>
          <w:color w:val="auto"/>
          <w:sz w:val="22"/>
          <w:szCs w:val="22"/>
          <w:highlight w:val="none"/>
        </w:rPr>
      </w:pPr>
      <w:r>
        <w:rPr>
          <w:rFonts w:hint="eastAsia" w:ascii="宋体" w:hAnsi="宋体"/>
          <w:color w:val="auto"/>
          <w:sz w:val="22"/>
          <w:szCs w:val="22"/>
          <w:highlight w:val="none"/>
        </w:rPr>
        <w:t>2-2、国家相关的标准和规范（若有）</w:t>
      </w:r>
    </w:p>
    <w:p w14:paraId="0CF99B49">
      <w:pPr>
        <w:keepNext w:val="0"/>
        <w:keepLines w:val="0"/>
        <w:pageBreakBefore w:val="0"/>
        <w:kinsoku/>
        <w:wordWrap/>
        <w:overflowPunct/>
        <w:topLinePunct w:val="0"/>
        <w:autoSpaceDE/>
        <w:autoSpaceDN/>
        <w:bidi w:val="0"/>
        <w:adjustRightInd/>
        <w:spacing w:before="120" w:beforeLines="50" w:after="120" w:afterLines="50" w:line="360" w:lineRule="auto"/>
        <w:ind w:left="425"/>
        <w:rPr>
          <w:rFonts w:ascii="宋体" w:hAnsi="宋体"/>
          <w:b/>
          <w:color w:val="auto"/>
          <w:sz w:val="24"/>
          <w:szCs w:val="24"/>
          <w:highlight w:val="none"/>
        </w:rPr>
      </w:pPr>
      <w:bookmarkStart w:id="16" w:name="_Toc237145412"/>
      <w:bookmarkStart w:id="17" w:name="_Toc238984981"/>
      <w:bookmarkStart w:id="18" w:name="_Toc211911354"/>
      <w:bookmarkStart w:id="19" w:name="_Toc283019219"/>
      <w:bookmarkStart w:id="20" w:name="_Toc239568424"/>
      <w:bookmarkStart w:id="21" w:name="_Toc282696231"/>
      <w:bookmarkStart w:id="22" w:name="_Toc211854455"/>
      <w:bookmarkStart w:id="23" w:name="_Toc185395255"/>
      <w:bookmarkStart w:id="24" w:name="_Toc225654650"/>
      <w:bookmarkStart w:id="25" w:name="_Toc225244858"/>
      <w:bookmarkStart w:id="26" w:name="_Toc247334847"/>
      <w:bookmarkStart w:id="27" w:name="_Toc286993793"/>
      <w:bookmarkStart w:id="28" w:name="_Toc212019600"/>
      <w:bookmarkStart w:id="29" w:name="_Toc251768868"/>
      <w:bookmarkStart w:id="30" w:name="_Toc232492934"/>
      <w:bookmarkStart w:id="31" w:name="_Toc241833909"/>
      <w:bookmarkStart w:id="32" w:name="_Toc239233920"/>
      <w:bookmarkStart w:id="33" w:name="_Toc225670757"/>
      <w:r>
        <w:rPr>
          <w:rFonts w:hint="eastAsia" w:ascii="宋体" w:hAnsi="宋体"/>
          <w:b/>
          <w:color w:val="auto"/>
          <w:sz w:val="24"/>
          <w:szCs w:val="24"/>
          <w:highlight w:val="none"/>
        </w:rPr>
        <w:t>第十</w:t>
      </w:r>
      <w:r>
        <w:rPr>
          <w:rFonts w:hint="eastAsia" w:ascii="宋体" w:hAnsi="宋体"/>
          <w:b/>
          <w:color w:val="auto"/>
          <w:sz w:val="24"/>
          <w:szCs w:val="24"/>
          <w:highlight w:val="none"/>
          <w:lang w:val="en-US" w:eastAsia="zh-CN"/>
        </w:rPr>
        <w:t>五</w:t>
      </w:r>
      <w:r>
        <w:rPr>
          <w:rFonts w:hint="eastAsia" w:ascii="宋体" w:hAnsi="宋体"/>
          <w:b/>
          <w:color w:val="auto"/>
          <w:sz w:val="24"/>
          <w:szCs w:val="24"/>
          <w:highlight w:val="none"/>
        </w:rPr>
        <w:t xml:space="preserve">条  </w:t>
      </w:r>
      <w:r>
        <w:rPr>
          <w:rFonts w:ascii="宋体" w:hAnsi="宋体"/>
          <w:b/>
          <w:color w:val="auto"/>
          <w:sz w:val="24"/>
          <w:szCs w:val="24"/>
          <w:highlight w:val="none"/>
        </w:rPr>
        <w:t>合同</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rFonts w:hint="eastAsia" w:ascii="宋体" w:hAnsi="宋体"/>
          <w:b/>
          <w:color w:val="auto"/>
          <w:sz w:val="24"/>
          <w:szCs w:val="24"/>
          <w:highlight w:val="none"/>
        </w:rPr>
        <w:t>生效及其他</w:t>
      </w:r>
    </w:p>
    <w:p w14:paraId="4377253A">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1.未尽事宜，双方协商解决。在本合同履行过程中将双方达成的书面补充协议是本合同不可分割的组成部分，与本合同具有同等效力。</w:t>
      </w:r>
    </w:p>
    <w:p w14:paraId="155B7832">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2.本合同正本一式</w:t>
      </w:r>
      <w:r>
        <w:rPr>
          <w:rFonts w:hint="eastAsia" w:ascii="宋体" w:hAnsi="宋体" w:eastAsia="宋体" w:cs="Times New Roman"/>
          <w:color w:val="auto"/>
          <w:sz w:val="22"/>
          <w:szCs w:val="22"/>
          <w:highlight w:val="none"/>
          <w:u w:val="single"/>
          <w:lang w:val="en-US" w:eastAsia="zh-CN"/>
        </w:rPr>
        <w:t xml:space="preserve">   </w:t>
      </w:r>
      <w:r>
        <w:rPr>
          <w:rFonts w:hint="eastAsia" w:ascii="宋体" w:hAnsi="宋体" w:eastAsia="宋体" w:cs="Times New Roman"/>
          <w:color w:val="auto"/>
          <w:sz w:val="22"/>
          <w:szCs w:val="22"/>
          <w:highlight w:val="none"/>
        </w:rPr>
        <w:t>份，副本一式</w:t>
      </w:r>
      <w:r>
        <w:rPr>
          <w:rFonts w:hint="eastAsia" w:ascii="宋体" w:hAnsi="宋体" w:eastAsia="宋体" w:cs="Times New Roman"/>
          <w:color w:val="auto"/>
          <w:sz w:val="22"/>
          <w:szCs w:val="22"/>
          <w:highlight w:val="none"/>
          <w:u w:val="single"/>
          <w:lang w:val="en-US" w:eastAsia="zh-CN"/>
        </w:rPr>
        <w:t xml:space="preserve">   </w:t>
      </w:r>
      <w:r>
        <w:rPr>
          <w:rFonts w:hint="eastAsia" w:ascii="宋体" w:hAnsi="宋体" w:eastAsia="宋体" w:cs="Times New Roman"/>
          <w:color w:val="auto"/>
          <w:sz w:val="22"/>
          <w:szCs w:val="22"/>
          <w:highlight w:val="none"/>
        </w:rPr>
        <w:t>份，均以中文书写，在双方代表签字盖章后生效，甲方执正本</w:t>
      </w:r>
      <w:r>
        <w:rPr>
          <w:rFonts w:hint="eastAsia" w:ascii="宋体" w:hAnsi="宋体" w:eastAsia="宋体" w:cs="Times New Roman"/>
          <w:color w:val="auto"/>
          <w:sz w:val="22"/>
          <w:szCs w:val="22"/>
          <w:highlight w:val="none"/>
          <w:u w:val="single"/>
          <w:lang w:val="en-US" w:eastAsia="zh-CN"/>
        </w:rPr>
        <w:t xml:space="preserve">   </w:t>
      </w:r>
      <w:r>
        <w:rPr>
          <w:rFonts w:hint="eastAsia" w:ascii="宋体" w:hAnsi="宋体" w:eastAsia="宋体" w:cs="Times New Roman"/>
          <w:color w:val="auto"/>
          <w:sz w:val="22"/>
          <w:szCs w:val="22"/>
          <w:highlight w:val="none"/>
        </w:rPr>
        <w:t>份、副本</w:t>
      </w:r>
      <w:r>
        <w:rPr>
          <w:rFonts w:hint="eastAsia" w:ascii="宋体" w:hAnsi="宋体" w:eastAsia="宋体" w:cs="Times New Roman"/>
          <w:color w:val="auto"/>
          <w:sz w:val="22"/>
          <w:szCs w:val="22"/>
          <w:highlight w:val="none"/>
          <w:u w:val="single"/>
          <w:lang w:val="en-US" w:eastAsia="zh-CN"/>
        </w:rPr>
        <w:t xml:space="preserve">   </w:t>
      </w:r>
      <w:r>
        <w:rPr>
          <w:rFonts w:hint="eastAsia" w:ascii="宋体" w:hAnsi="宋体" w:eastAsia="宋体" w:cs="Times New Roman"/>
          <w:color w:val="auto"/>
          <w:sz w:val="22"/>
          <w:szCs w:val="22"/>
          <w:highlight w:val="none"/>
        </w:rPr>
        <w:t>份；乙方执正本</w:t>
      </w:r>
      <w:r>
        <w:rPr>
          <w:rFonts w:hint="eastAsia" w:ascii="宋体" w:hAnsi="宋体" w:eastAsia="宋体" w:cs="Times New Roman"/>
          <w:color w:val="auto"/>
          <w:sz w:val="22"/>
          <w:szCs w:val="22"/>
          <w:highlight w:val="none"/>
          <w:u w:val="single"/>
          <w:lang w:val="en-US" w:eastAsia="zh-CN"/>
        </w:rPr>
        <w:t xml:space="preserve">   </w:t>
      </w:r>
      <w:r>
        <w:rPr>
          <w:rFonts w:hint="eastAsia" w:ascii="宋体" w:hAnsi="宋体" w:eastAsia="宋体" w:cs="Times New Roman"/>
          <w:color w:val="auto"/>
          <w:sz w:val="22"/>
          <w:szCs w:val="22"/>
          <w:highlight w:val="none"/>
        </w:rPr>
        <w:t>份，副本</w:t>
      </w:r>
      <w:r>
        <w:rPr>
          <w:rFonts w:hint="eastAsia" w:ascii="宋体" w:hAnsi="宋体" w:eastAsia="宋体" w:cs="Times New Roman"/>
          <w:color w:val="auto"/>
          <w:sz w:val="22"/>
          <w:szCs w:val="22"/>
          <w:highlight w:val="none"/>
          <w:u w:val="single"/>
          <w:lang w:val="en-US" w:eastAsia="zh-CN"/>
        </w:rPr>
        <w:t xml:space="preserve">   </w:t>
      </w:r>
      <w:r>
        <w:rPr>
          <w:rFonts w:hint="eastAsia" w:ascii="宋体" w:hAnsi="宋体" w:eastAsia="宋体" w:cs="Times New Roman"/>
          <w:color w:val="auto"/>
          <w:sz w:val="22"/>
          <w:szCs w:val="22"/>
          <w:highlight w:val="none"/>
        </w:rPr>
        <w:t>份；政府采购管理部门备案副本</w:t>
      </w:r>
      <w:r>
        <w:rPr>
          <w:rFonts w:hint="eastAsia" w:ascii="宋体" w:hAnsi="宋体" w:eastAsia="宋体" w:cs="Times New Roman"/>
          <w:color w:val="auto"/>
          <w:sz w:val="22"/>
          <w:szCs w:val="22"/>
          <w:highlight w:val="none"/>
          <w:u w:val="single"/>
          <w:lang w:val="en-US" w:eastAsia="zh-CN"/>
        </w:rPr>
        <w:t xml:space="preserve">   </w:t>
      </w:r>
      <w:r>
        <w:rPr>
          <w:rFonts w:hint="eastAsia" w:ascii="宋体" w:hAnsi="宋体" w:eastAsia="宋体" w:cs="Times New Roman"/>
          <w:color w:val="auto"/>
          <w:sz w:val="22"/>
          <w:szCs w:val="22"/>
          <w:highlight w:val="none"/>
        </w:rPr>
        <w:t>份，均具有同等法律效力。</w:t>
      </w:r>
    </w:p>
    <w:p w14:paraId="3FDF7FAB">
      <w:pPr>
        <w:keepNext w:val="0"/>
        <w:keepLines w:val="0"/>
        <w:pageBreakBefore w:val="0"/>
        <w:kinsoku/>
        <w:wordWrap/>
        <w:overflowPunct/>
        <w:topLinePunct w:val="0"/>
        <w:autoSpaceDE/>
        <w:autoSpaceDN/>
        <w:bidi w:val="0"/>
        <w:adjustRightInd/>
        <w:spacing w:line="360" w:lineRule="auto"/>
        <w:ind w:left="-18" w:firstLine="440" w:firstLineChars="200"/>
        <w:rPr>
          <w:rFonts w:hint="eastAsia" w:ascii="宋体" w:hAnsi="宋体" w:eastAsia="宋体" w:cs="Times New Roman"/>
          <w:color w:val="auto"/>
          <w:sz w:val="22"/>
          <w:szCs w:val="22"/>
          <w:highlight w:val="none"/>
        </w:rPr>
      </w:pPr>
      <w:r>
        <w:rPr>
          <w:rFonts w:hint="eastAsia" w:ascii="宋体" w:hAnsi="宋体" w:eastAsia="宋体" w:cs="Times New Roman"/>
          <w:color w:val="auto"/>
          <w:sz w:val="22"/>
          <w:szCs w:val="22"/>
          <w:highlight w:val="none"/>
        </w:rPr>
        <w:t>3.本合同自双方签字盖章之日起生效，合同执行完毕自动失效（合同的服务承诺长期有效）。</w:t>
      </w:r>
    </w:p>
    <w:p w14:paraId="0107CCD0">
      <w:pPr>
        <w:pStyle w:val="11"/>
        <w:keepNext w:val="0"/>
        <w:keepLines w:val="0"/>
        <w:pageBreakBefore w:val="0"/>
        <w:kinsoku/>
        <w:wordWrap/>
        <w:overflowPunct/>
        <w:topLinePunct w:val="0"/>
        <w:autoSpaceDE/>
        <w:autoSpaceDN/>
        <w:bidi w:val="0"/>
        <w:adjustRightInd/>
        <w:spacing w:line="360" w:lineRule="auto"/>
        <w:rPr>
          <w:rFonts w:hint="eastAsia" w:ascii="宋体" w:hAnsi="宋体"/>
          <w:color w:val="auto"/>
          <w:sz w:val="22"/>
          <w:szCs w:val="22"/>
          <w:highlight w:val="none"/>
        </w:rPr>
      </w:pPr>
    </w:p>
    <w:tbl>
      <w:tblPr>
        <w:tblStyle w:val="7"/>
        <w:tblpPr w:leftFromText="180" w:rightFromText="180" w:vertAnchor="text" w:horzAnchor="page" w:tblpXSpec="center" w:tblpY="99"/>
        <w:tblOverlap w:val="never"/>
        <w:tblW w:w="0" w:type="auto"/>
        <w:jc w:val="center"/>
        <w:tblLayout w:type="fixed"/>
        <w:tblCellMar>
          <w:top w:w="0" w:type="dxa"/>
          <w:left w:w="108" w:type="dxa"/>
          <w:bottom w:w="0" w:type="dxa"/>
          <w:right w:w="108" w:type="dxa"/>
        </w:tblCellMar>
      </w:tblPr>
      <w:tblGrid>
        <w:gridCol w:w="4201"/>
        <w:gridCol w:w="4202"/>
      </w:tblGrid>
      <w:tr w14:paraId="68F73899">
        <w:tblPrEx>
          <w:tblCellMar>
            <w:top w:w="0" w:type="dxa"/>
            <w:left w:w="108" w:type="dxa"/>
            <w:bottom w:w="0" w:type="dxa"/>
            <w:right w:w="108" w:type="dxa"/>
          </w:tblCellMar>
        </w:tblPrEx>
        <w:trPr>
          <w:trHeight w:val="484" w:hRule="exact"/>
          <w:jc w:val="center"/>
        </w:trPr>
        <w:tc>
          <w:tcPr>
            <w:tcW w:w="4201" w:type="dxa"/>
            <w:noWrap w:val="0"/>
            <w:vAlign w:val="center"/>
          </w:tcPr>
          <w:p w14:paraId="375915A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p>
        </w:tc>
        <w:tc>
          <w:tcPr>
            <w:tcW w:w="4202" w:type="dxa"/>
            <w:noWrap w:val="0"/>
            <w:vAlign w:val="center"/>
          </w:tcPr>
          <w:p w14:paraId="3ADF076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p>
        </w:tc>
      </w:tr>
      <w:tr w14:paraId="0131A7E1">
        <w:tblPrEx>
          <w:tblCellMar>
            <w:top w:w="0" w:type="dxa"/>
            <w:left w:w="108" w:type="dxa"/>
            <w:bottom w:w="0" w:type="dxa"/>
            <w:right w:w="108" w:type="dxa"/>
          </w:tblCellMar>
        </w:tblPrEx>
        <w:trPr>
          <w:trHeight w:val="467" w:hRule="exact"/>
          <w:jc w:val="center"/>
        </w:trPr>
        <w:tc>
          <w:tcPr>
            <w:tcW w:w="4201" w:type="dxa"/>
            <w:noWrap w:val="0"/>
            <w:vAlign w:val="center"/>
          </w:tcPr>
          <w:p w14:paraId="4DAC677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573CCF0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2B353100">
        <w:tblPrEx>
          <w:tblCellMar>
            <w:top w:w="0" w:type="dxa"/>
            <w:left w:w="108" w:type="dxa"/>
            <w:bottom w:w="0" w:type="dxa"/>
            <w:right w:w="108" w:type="dxa"/>
          </w:tblCellMar>
        </w:tblPrEx>
        <w:trPr>
          <w:trHeight w:val="501" w:hRule="exact"/>
          <w:jc w:val="center"/>
        </w:trPr>
        <w:tc>
          <w:tcPr>
            <w:tcW w:w="4201" w:type="dxa"/>
            <w:noWrap w:val="0"/>
            <w:vAlign w:val="center"/>
          </w:tcPr>
          <w:p w14:paraId="46E7E65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c>
          <w:tcPr>
            <w:tcW w:w="4202" w:type="dxa"/>
            <w:noWrap w:val="0"/>
            <w:vAlign w:val="center"/>
          </w:tcPr>
          <w:p w14:paraId="588FB37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4F07F23D">
        <w:tblPrEx>
          <w:tblCellMar>
            <w:top w:w="0" w:type="dxa"/>
            <w:left w:w="108" w:type="dxa"/>
            <w:bottom w:w="0" w:type="dxa"/>
            <w:right w:w="108" w:type="dxa"/>
          </w:tblCellMar>
        </w:tblPrEx>
        <w:trPr>
          <w:trHeight w:val="450" w:hRule="exact"/>
          <w:jc w:val="center"/>
        </w:trPr>
        <w:tc>
          <w:tcPr>
            <w:tcW w:w="4201" w:type="dxa"/>
            <w:noWrap w:val="0"/>
            <w:vAlign w:val="center"/>
          </w:tcPr>
          <w:p w14:paraId="735DDF48">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41E1344A">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3F8F798B">
        <w:tblPrEx>
          <w:tblCellMar>
            <w:top w:w="0" w:type="dxa"/>
            <w:left w:w="108" w:type="dxa"/>
            <w:bottom w:w="0" w:type="dxa"/>
            <w:right w:w="108" w:type="dxa"/>
          </w:tblCellMar>
        </w:tblPrEx>
        <w:trPr>
          <w:trHeight w:val="533" w:hRule="exact"/>
          <w:jc w:val="center"/>
        </w:trPr>
        <w:tc>
          <w:tcPr>
            <w:tcW w:w="4201" w:type="dxa"/>
            <w:noWrap w:val="0"/>
            <w:vAlign w:val="center"/>
          </w:tcPr>
          <w:p w14:paraId="5B16728F">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4202" w:type="dxa"/>
            <w:noWrap w:val="0"/>
            <w:vAlign w:val="center"/>
          </w:tcPr>
          <w:p w14:paraId="7AF41C3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3430A0D5">
        <w:tblPrEx>
          <w:tblCellMar>
            <w:top w:w="0" w:type="dxa"/>
            <w:left w:w="108" w:type="dxa"/>
            <w:bottom w:w="0" w:type="dxa"/>
            <w:right w:w="108" w:type="dxa"/>
          </w:tblCellMar>
        </w:tblPrEx>
        <w:trPr>
          <w:trHeight w:val="533" w:hRule="exact"/>
          <w:jc w:val="center"/>
        </w:trPr>
        <w:tc>
          <w:tcPr>
            <w:tcW w:w="4201" w:type="dxa"/>
            <w:noWrap w:val="0"/>
            <w:vAlign w:val="center"/>
          </w:tcPr>
          <w:p w14:paraId="64DAF14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tc>
        <w:tc>
          <w:tcPr>
            <w:tcW w:w="4202" w:type="dxa"/>
            <w:noWrap w:val="0"/>
            <w:vAlign w:val="center"/>
          </w:tcPr>
          <w:p w14:paraId="36FE85A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tc>
      </w:tr>
      <w:tr w14:paraId="30CCC549">
        <w:tblPrEx>
          <w:tblCellMar>
            <w:top w:w="0" w:type="dxa"/>
            <w:left w:w="108" w:type="dxa"/>
            <w:bottom w:w="0" w:type="dxa"/>
            <w:right w:w="108" w:type="dxa"/>
          </w:tblCellMar>
        </w:tblPrEx>
        <w:trPr>
          <w:trHeight w:val="500" w:hRule="exact"/>
          <w:jc w:val="center"/>
        </w:trPr>
        <w:tc>
          <w:tcPr>
            <w:tcW w:w="4201" w:type="dxa"/>
            <w:noWrap w:val="0"/>
            <w:vAlign w:val="center"/>
          </w:tcPr>
          <w:p w14:paraId="60084E16">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503B1E1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442E120D">
        <w:tblPrEx>
          <w:tblCellMar>
            <w:top w:w="0" w:type="dxa"/>
            <w:left w:w="108" w:type="dxa"/>
            <w:bottom w:w="0" w:type="dxa"/>
            <w:right w:w="108" w:type="dxa"/>
          </w:tblCellMar>
        </w:tblPrEx>
        <w:trPr>
          <w:trHeight w:val="467" w:hRule="exact"/>
          <w:jc w:val="center"/>
        </w:trPr>
        <w:tc>
          <w:tcPr>
            <w:tcW w:w="4201" w:type="dxa"/>
            <w:noWrap w:val="0"/>
            <w:vAlign w:val="center"/>
          </w:tcPr>
          <w:p w14:paraId="02EACE2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7F36F4D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0AA0BA14">
        <w:tblPrEx>
          <w:tblCellMar>
            <w:top w:w="0" w:type="dxa"/>
            <w:left w:w="108" w:type="dxa"/>
            <w:bottom w:w="0" w:type="dxa"/>
            <w:right w:w="108" w:type="dxa"/>
          </w:tblCellMar>
        </w:tblPrEx>
        <w:trPr>
          <w:trHeight w:val="567" w:hRule="exact"/>
          <w:jc w:val="center"/>
        </w:trPr>
        <w:tc>
          <w:tcPr>
            <w:tcW w:w="4201" w:type="dxa"/>
            <w:noWrap w:val="0"/>
            <w:vAlign w:val="center"/>
          </w:tcPr>
          <w:p w14:paraId="7053F325">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01416B4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1BB6F763">
        <w:tblPrEx>
          <w:tblCellMar>
            <w:top w:w="0" w:type="dxa"/>
            <w:left w:w="108" w:type="dxa"/>
            <w:bottom w:w="0" w:type="dxa"/>
            <w:right w:w="108" w:type="dxa"/>
          </w:tblCellMar>
        </w:tblPrEx>
        <w:trPr>
          <w:trHeight w:val="567" w:hRule="exact"/>
          <w:jc w:val="center"/>
        </w:trPr>
        <w:tc>
          <w:tcPr>
            <w:tcW w:w="4201" w:type="dxa"/>
            <w:noWrap w:val="0"/>
            <w:vAlign w:val="center"/>
          </w:tcPr>
          <w:p w14:paraId="40D328F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5C41223D">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1C0FA0D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WE2YjZmMWJhNzNlMjI0YjdmYTc2MjRkNjc2NTMifQ=="/>
  </w:docVars>
  <w:rsids>
    <w:rsidRoot w:val="00000000"/>
    <w:rsid w:val="148A7C64"/>
    <w:rsid w:val="168D57EA"/>
    <w:rsid w:val="1A862C7C"/>
    <w:rsid w:val="29A17B45"/>
    <w:rsid w:val="359018FD"/>
    <w:rsid w:val="37CB5D1A"/>
    <w:rsid w:val="3CE14D33"/>
    <w:rsid w:val="3E885FAA"/>
    <w:rsid w:val="4745362F"/>
    <w:rsid w:val="48957985"/>
    <w:rsid w:val="49373210"/>
    <w:rsid w:val="56C45E78"/>
    <w:rsid w:val="5BB64468"/>
    <w:rsid w:val="5E677C9B"/>
    <w:rsid w:val="68D3225F"/>
    <w:rsid w:val="6D686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utoSpaceDE w:val="0"/>
      <w:autoSpaceDN w:val="0"/>
      <w:adjustRightInd w:val="0"/>
      <w:spacing w:after="120" w:afterLines="0" w:line="240" w:lineRule="auto"/>
      <w:ind w:firstLine="420" w:firstLineChars="100"/>
      <w:jc w:val="left"/>
    </w:pPr>
    <w:rPr>
      <w:rFonts w:ascii="Copperplate Gothic Bold" w:hAnsi="Copperplate Gothic Bold"/>
      <w:sz w:val="28"/>
      <w:szCs w:val="20"/>
    </w:rPr>
  </w:style>
  <w:style w:type="paragraph" w:styleId="3">
    <w:name w:val="Body Text"/>
    <w:basedOn w:val="1"/>
    <w:next w:val="1"/>
    <w:qFormat/>
    <w:uiPriority w:val="0"/>
    <w:pPr>
      <w:spacing w:after="120"/>
    </w:pPr>
  </w:style>
  <w:style w:type="paragraph" w:styleId="4">
    <w:name w:val="Plain Text"/>
    <w:basedOn w:val="1"/>
    <w:qFormat/>
    <w:uiPriority w:val="0"/>
    <w:rPr>
      <w:rFonts w:ascii="宋体" w:hAnsi="Courier New" w:eastAsia="华文宋体"/>
      <w:sz w:val="28"/>
      <w:szCs w:val="20"/>
    </w:r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9">
    <w:name w:val="NormalCharacter"/>
    <w:link w:val="10"/>
    <w:qFormat/>
    <w:uiPriority w:val="0"/>
  </w:style>
  <w:style w:type="paragraph" w:customStyle="1" w:styleId="10">
    <w:name w:val="UserStyle_34"/>
    <w:basedOn w:val="1"/>
    <w:link w:val="9"/>
    <w:qFormat/>
    <w:uiPriority w:val="0"/>
  </w:style>
  <w:style w:type="paragraph" w:customStyle="1" w:styleId="11">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List Paragraph1"/>
    <w:qFormat/>
    <w:uiPriority w:val="99"/>
    <w:pPr>
      <w:ind w:firstLine="420" w:firstLineChars="200"/>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2706</Words>
  <Characters>2812</Characters>
  <Lines>0</Lines>
  <Paragraphs>0</Paragraphs>
  <TotalTime>6</TotalTime>
  <ScaleCrop>false</ScaleCrop>
  <LinksUpToDate>false</LinksUpToDate>
  <CharactersWithSpaces>2994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2024-12-24T11:59:00Z</dcterms:created>
  <dc:creator>韩承佑</dc:creator>
  <cp:lastModifiedBy>扭儿</cp:lastModifiedBy>
  <dcterms:modified xsi:type="dcterms:W3CDTF">2025-04-14T09:19:26Z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F63EE3AB004E4C2AB7E60A5A78FD1633_13</vt:lpwstr>
  </property>
</Properties>
</file>