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版本号：RKZB-2025-02040520250414001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西安液化天然气(LNG)应急储备气调峰岳华村搬迁安置临时围墙建设项目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RKZB-2025-020405</w:t>
      </w:r>
      <w:r>
        <w:br/>
      </w:r>
      <w:r>
        <w:br/>
      </w:r>
      <w:r>
        <w:br/>
      </w:r>
    </w:p>
    <w:p>
      <w:pPr>
        <w:pStyle w:val="null3"/>
        <w:jc w:val="center"/>
        <w:outlineLvl w:val="2"/>
      </w:pPr>
      <w:r>
        <w:rPr>
          <w:rFonts w:ascii="仿宋_GB2312" w:hAnsi="仿宋_GB2312" w:cs="仿宋_GB2312" w:eastAsia="仿宋_GB2312"/>
          <w:sz w:val="28"/>
          <w:b/>
        </w:rPr>
        <w:t>西安市高陵区通远街道办事处</w:t>
      </w:r>
    </w:p>
    <w:p>
      <w:pPr>
        <w:pStyle w:val="null3"/>
        <w:jc w:val="center"/>
        <w:outlineLvl w:val="2"/>
      </w:pPr>
      <w:r>
        <w:rPr>
          <w:rFonts w:ascii="仿宋_GB2312" w:hAnsi="仿宋_GB2312" w:cs="仿宋_GB2312" w:eastAsia="仿宋_GB2312"/>
          <w:sz w:val="28"/>
          <w:b/>
        </w:rPr>
        <w:t>瑞科项目管理有限公司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瑞科项目管理有限公司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西安市高陵区通远街道办事处</w:t>
      </w:r>
      <w:r>
        <w:rPr>
          <w:rFonts w:ascii="仿宋_GB2312" w:hAnsi="仿宋_GB2312" w:cs="仿宋_GB2312" w:eastAsia="仿宋_GB2312"/>
        </w:rPr>
        <w:t>委托，拟对</w:t>
      </w:r>
      <w:r>
        <w:rPr>
          <w:rFonts w:ascii="仿宋_GB2312" w:hAnsi="仿宋_GB2312" w:cs="仿宋_GB2312" w:eastAsia="仿宋_GB2312"/>
        </w:rPr>
        <w:t>西安液化天然气(LNG)应急储备气调峰岳华村搬迁安置临时围墙建设项目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RKZB-2025-020405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西安液化天然气(LNG)应急储备气调峰岳华村搬迁安置临时围墙建设项目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西安液化天然气(LNG)应急储备气调峰岳华村搬迁安置临时围墙建设项目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采购包1（西安液化天然气(LNG)应急储备气调峰岳华村搬迁安置临时围墙建设项目）：属于专门面向中小企业采购。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1、项目经理：拟派项目经理具有专业二级及以上注册建造师证书，具备有效的安全生产考核合格证书(B证)，在本单位注册且未在其他在建工程担任项目经理。(提供证明资料及无在建承诺) 专业：建筑工程</w:t>
      </w:r>
    </w:p>
    <w:p>
      <w:pPr>
        <w:pStyle w:val="null3"/>
      </w:pPr>
      <w:r>
        <w:rPr>
          <w:rFonts w:ascii="仿宋_GB2312" w:hAnsi="仿宋_GB2312" w:cs="仿宋_GB2312" w:eastAsia="仿宋_GB2312"/>
        </w:rPr>
        <w:t>2、供应商资质：具备建设行政主管部门颁发的建筑工程施工总承包三级及以上资质，具有建设行政主管部门颁发的安全生产许可证。</w:t>
      </w:r>
    </w:p>
    <w:p>
      <w:pPr>
        <w:pStyle w:val="null3"/>
      </w:pPr>
      <w:r>
        <w:rPr>
          <w:rFonts w:ascii="仿宋_GB2312" w:hAnsi="仿宋_GB2312" w:cs="仿宋_GB2312" w:eastAsia="仿宋_GB2312"/>
        </w:rPr>
        <w:t>3、法定代表人身份证明/法定代表人授权委托书：法定代表人参加投标的，须提供法定代表人身份证明并提供本人身份证复印件（或扫描件）；法定代表人授权他人参加投标的，须提供法定代表人委托授权书，附法定代表人及被授权代表身份证复印件（或扫描件）。竞争性磋商文件中凡是需要法定代表人签字或盖章之处，非法人单位的负责人均参照执行</w:t>
      </w:r>
    </w:p>
    <w:p>
      <w:pPr>
        <w:pStyle w:val="null3"/>
      </w:pPr>
      <w:r>
        <w:rPr>
          <w:rFonts w:ascii="仿宋_GB2312" w:hAnsi="仿宋_GB2312" w:cs="仿宋_GB2312" w:eastAsia="仿宋_GB2312"/>
        </w:rPr>
        <w:t>4、供应商信用记录：供应商不得为“信用中国”网站(www.creditchina.gov.cn)中列失信被执行人和重大税收违法失信主体的供应商，不得为中国政府采购(www.ccgp.gov.cn)政府采购严重违法失信行为记录名单中被财政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西安市高陵区通远街道办事处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通远街道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86080125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西安市经济技术开发区未央路303号保利中达广场2207室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17792642151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采购包1：979,800.00元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下浮20%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西安市高陵区通远街道办事处</w:t>
      </w:r>
      <w:r>
        <w:rPr>
          <w:rFonts w:ascii="仿宋_GB2312" w:hAnsi="仿宋_GB2312" w:cs="仿宋_GB2312" w:eastAsia="仿宋_GB2312"/>
        </w:rPr>
        <w:t>和</w:t>
      </w:r>
      <w:r>
        <w:rPr>
          <w:rFonts w:ascii="仿宋_GB2312" w:hAnsi="仿宋_GB2312" w:cs="仿宋_GB2312" w:eastAsia="仿宋_GB2312"/>
        </w:rPr>
        <w:t>瑞科项目管理有限公司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西安市高陵区通远街道办事处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瑞科项目管理有限公司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西安市高陵区通远街道办事处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达到国家及省市相关建设工程质量标准的规定，达到“合格”要求。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联系人：刘梦妮</w:t>
      </w:r>
    </w:p>
    <w:p>
      <w:pPr>
        <w:pStyle w:val="null3"/>
      </w:pPr>
      <w:r>
        <w:rPr>
          <w:rFonts w:ascii="仿宋_GB2312" w:hAnsi="仿宋_GB2312" w:cs="仿宋_GB2312" w:eastAsia="仿宋_GB2312"/>
        </w:rPr>
        <w:t>联系电话：17792642151</w:t>
      </w:r>
    </w:p>
    <w:p>
      <w:pPr>
        <w:pStyle w:val="null3"/>
      </w:pPr>
      <w:r>
        <w:rPr>
          <w:rFonts w:ascii="仿宋_GB2312" w:hAnsi="仿宋_GB2312" w:cs="仿宋_GB2312" w:eastAsia="仿宋_GB2312"/>
        </w:rPr>
        <w:t>地址：陕西省西安市经济技术开发区未央路303号保利中达广场2207室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979,800.00</w:t>
      </w:r>
    </w:p>
    <w:p>
      <w:pPr>
        <w:pStyle w:val="null3"/>
      </w:pPr>
      <w:r>
        <w:rPr>
          <w:rFonts w:ascii="仿宋_GB2312" w:hAnsi="仿宋_GB2312" w:cs="仿宋_GB2312" w:eastAsia="仿宋_GB2312"/>
        </w:rPr>
        <w:t>采购包最高限价（元）: 979,800.00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西安液化天然气(LNG)应急储备气调峰岳华村搬迁安置临时围墙建设项目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979,800.00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标的名称：西安液化天然气(LNG)应急储备气调峰岳华村搬迁安置临时围墙建设项目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对西安液化天然气(LNG)应急储备气调峰岳华村搬迁安置项目区域围墙进行圈建。拟建围墙长度约1431米(最终以实际圈建长度为准):包含场地清理、基础土方开挖、回填 、砖混围墙基础砌筑、涂料粉刷。</w:t>
            </w:r>
          </w:p>
          <w:p>
            <w:pPr>
              <w:pStyle w:val="null3"/>
            </w:pPr>
            <w:r>
              <w:rPr>
                <w:rFonts w:ascii="仿宋_GB2312" w:hAnsi="仿宋_GB2312" w:cs="仿宋_GB2312" w:eastAsia="仿宋_GB2312"/>
                <w:b/>
              </w:rPr>
              <w:t>二、工程内容和施工地点</w:t>
            </w:r>
            <w:r>
              <w:br/>
            </w:r>
            <w:r>
              <w:rPr>
                <w:rFonts w:ascii="仿宋_GB2312" w:hAnsi="仿宋_GB2312" w:cs="仿宋_GB2312" w:eastAsia="仿宋_GB2312"/>
              </w:rPr>
              <w:t xml:space="preserve"> 1.工程内容:房屋建筑施工围墙采用 24 砖墙，每隔5m 设置 37 砖墙立柱，围墙地平向上 400mm 高墙线设置为深灰色(色值:R125  B125  G125),墙线以上部分为浅灰色(色值:R170  B170  G170)，顶部加盖深灰色瓦片(材质为涂料);在规定时限内完成项目任务，无任何遗留问题;按照工作相关规定如期完成新建围墙，全部达到项目交付要求;施工现场无建筑垃圾残留，并达到陕西省、西安市关于治污减霾的相关规定，完成垃圾清运工作，不发生安全责任事故，没有上访、打架、闹事等不稳定事件发生。</w:t>
            </w:r>
            <w:r>
              <w:br/>
            </w:r>
            <w:r>
              <w:rPr>
                <w:rFonts w:ascii="仿宋_GB2312" w:hAnsi="仿宋_GB2312" w:cs="仿宋_GB2312" w:eastAsia="仿宋_GB2312"/>
              </w:rPr>
              <w:t xml:space="preserve"> 2.工程地点:西安市高陵区</w:t>
            </w:r>
          </w:p>
          <w:p>
            <w:pPr>
              <w:pStyle w:val="null3"/>
            </w:pPr>
            <w:r>
              <w:rPr>
                <w:rFonts w:ascii="仿宋_GB2312" w:hAnsi="仿宋_GB2312" w:cs="仿宋_GB2312" w:eastAsia="仿宋_GB2312"/>
                <w:b/>
              </w:rPr>
              <w:t>三、工程实施期限</w:t>
            </w:r>
            <w:r>
              <w:br/>
            </w:r>
            <w:r>
              <w:rPr>
                <w:rFonts w:ascii="仿宋_GB2312" w:hAnsi="仿宋_GB2312" w:cs="仿宋_GB2312" w:eastAsia="仿宋_GB2312"/>
              </w:rPr>
              <w:t xml:space="preserve"> 自合同签订之日起15个日历天内。</w:t>
            </w:r>
          </w:p>
          <w:p>
            <w:pPr>
              <w:pStyle w:val="null3"/>
            </w:pPr>
            <w:r>
              <w:rPr>
                <w:rFonts w:ascii="仿宋_GB2312" w:hAnsi="仿宋_GB2312" w:cs="仿宋_GB2312" w:eastAsia="仿宋_GB2312"/>
                <w:b/>
              </w:rPr>
              <w:t>四、工程量清单</w:t>
            </w:r>
          </w:p>
          <w:tbl>
            <w:tblPr>
              <w:tblBorders>
                <w:top w:val="single"/>
                <w:left w:val="single"/>
                <w:bottom w:val="single"/>
                <w:right w:val="single"/>
                <w:insideH w:val="single"/>
                <w:insideV w:val="single"/>
              </w:tblBorders>
            </w:tblPr>
            <w:tblGrid>
              <w:gridCol w:w="310"/>
              <w:gridCol w:w="310"/>
              <w:gridCol w:w="310"/>
              <w:gridCol w:w="310"/>
              <w:gridCol w:w="310"/>
              <w:gridCol w:w="310"/>
            </w:tblGrid>
            <w:tr>
              <w:tc>
                <w:tcPr>
                  <w:tcW w:type="dxa" w:w="310"/>
                </w:tcPr>
                <w:p>
                  <w:pPr>
                    <w:pStyle w:val="null3"/>
                  </w:pPr>
                  <w:r>
                    <w:rPr>
                      <w:rFonts w:ascii="仿宋_GB2312" w:hAnsi="仿宋_GB2312" w:cs="仿宋_GB2312" w:eastAsia="仿宋_GB2312"/>
                    </w:rPr>
                    <w:t>序号</w:t>
                  </w:r>
                </w:p>
              </w:tc>
              <w:tc>
                <w:tcPr>
                  <w:tcW w:type="dxa" w:w="310"/>
                </w:tcPr>
                <w:p>
                  <w:pPr>
                    <w:pStyle w:val="null3"/>
                  </w:pPr>
                  <w:r>
                    <w:rPr>
                      <w:rFonts w:ascii="仿宋_GB2312" w:hAnsi="仿宋_GB2312" w:cs="仿宋_GB2312" w:eastAsia="仿宋_GB2312"/>
                    </w:rPr>
                    <w:t>清单项目</w:t>
                  </w:r>
                </w:p>
              </w:tc>
              <w:tc>
                <w:tcPr>
                  <w:tcW w:type="dxa" w:w="310"/>
                </w:tcPr>
                <w:p>
                  <w:pPr>
                    <w:pStyle w:val="null3"/>
                  </w:pPr>
                  <w:r>
                    <w:rPr>
                      <w:rFonts w:ascii="仿宋_GB2312" w:hAnsi="仿宋_GB2312" w:cs="仿宋_GB2312" w:eastAsia="仿宋_GB2312"/>
                    </w:rPr>
                    <w:t>计量单位</w:t>
                  </w:r>
                </w:p>
              </w:tc>
              <w:tc>
                <w:tcPr>
                  <w:tcW w:type="dxa" w:w="310"/>
                </w:tcPr>
                <w:p>
                  <w:pPr>
                    <w:pStyle w:val="null3"/>
                  </w:pPr>
                  <w:r>
                    <w:rPr>
                      <w:rFonts w:ascii="仿宋_GB2312" w:hAnsi="仿宋_GB2312" w:cs="仿宋_GB2312" w:eastAsia="仿宋_GB2312"/>
                    </w:rPr>
                    <w:t>工程量</w:t>
                  </w:r>
                </w:p>
              </w:tc>
              <w:tc>
                <w:tcPr>
                  <w:tcW w:type="dxa" w:w="310"/>
                </w:tcPr>
                <w:p>
                  <w:pPr>
                    <w:pStyle w:val="null3"/>
                  </w:pPr>
                  <w:r>
                    <w:rPr>
                      <w:rFonts w:ascii="仿宋_GB2312" w:hAnsi="仿宋_GB2312" w:cs="仿宋_GB2312" w:eastAsia="仿宋_GB2312"/>
                    </w:rPr>
                    <w:t>最高含税完全综合单价限价</w:t>
                  </w:r>
                </w:p>
              </w:tc>
              <w:tc>
                <w:tcPr>
                  <w:tcW w:type="dxa" w:w="310"/>
                </w:tcPr>
                <w:p>
                  <w:pPr>
                    <w:pStyle w:val="null3"/>
                  </w:pPr>
                  <w:r>
                    <w:rPr>
                      <w:rFonts w:ascii="仿宋_GB2312" w:hAnsi="仿宋_GB2312" w:cs="仿宋_GB2312" w:eastAsia="仿宋_GB2312"/>
                    </w:rPr>
                    <w:t>备注</w:t>
                  </w:r>
                </w:p>
              </w:tc>
            </w:tr>
            <w:tr>
              <w:tc>
                <w:tcPr>
                  <w:tcW w:type="dxa" w:w="310"/>
                </w:tcPr>
                <w:p>
                  <w:pPr>
                    <w:pStyle w:val="null3"/>
                  </w:pPr>
                  <w:r>
                    <w:rPr>
                      <w:rFonts w:ascii="仿宋_GB2312" w:hAnsi="仿宋_GB2312" w:cs="仿宋_GB2312" w:eastAsia="仿宋_GB2312"/>
                    </w:rPr>
                    <w:t>1</w:t>
                  </w:r>
                </w:p>
              </w:tc>
              <w:tc>
                <w:tcPr>
                  <w:tcW w:type="dxa" w:w="310"/>
                </w:tcPr>
                <w:p>
                  <w:pPr>
                    <w:pStyle w:val="null3"/>
                  </w:pPr>
                  <w:r>
                    <w:rPr>
                      <w:rFonts w:ascii="仿宋_GB2312" w:hAnsi="仿宋_GB2312" w:cs="仿宋_GB2312" w:eastAsia="仿宋_GB2312"/>
                    </w:rPr>
                    <w:t>围墙圈建</w:t>
                  </w:r>
                </w:p>
              </w:tc>
              <w:tc>
                <w:tcPr>
                  <w:tcW w:type="dxa" w:w="310"/>
                </w:tcPr>
                <w:p>
                  <w:pPr>
                    <w:pStyle w:val="null3"/>
                  </w:pPr>
                  <w:r>
                    <w:rPr>
                      <w:rFonts w:ascii="仿宋_GB2312" w:hAnsi="仿宋_GB2312" w:cs="仿宋_GB2312" w:eastAsia="仿宋_GB2312"/>
                    </w:rPr>
                    <w:t>米（m）</w:t>
                  </w:r>
                </w:p>
              </w:tc>
              <w:tc>
                <w:tcPr>
                  <w:tcW w:type="dxa" w:w="310"/>
                </w:tcPr>
                <w:p>
                  <w:pPr>
                    <w:pStyle w:val="null3"/>
                  </w:pPr>
                  <w:r>
                    <w:rPr>
                      <w:rFonts w:ascii="仿宋_GB2312" w:hAnsi="仿宋_GB2312" w:cs="仿宋_GB2312" w:eastAsia="仿宋_GB2312"/>
                    </w:rPr>
                    <w:t>1431</w:t>
                  </w:r>
                </w:p>
              </w:tc>
              <w:tc>
                <w:tcPr>
                  <w:tcW w:type="dxa" w:w="310"/>
                </w:tcPr>
                <w:p>
                  <w:pPr>
                    <w:pStyle w:val="null3"/>
                  </w:pPr>
                  <w:r>
                    <w:rPr>
                      <w:rFonts w:ascii="仿宋_GB2312" w:hAnsi="仿宋_GB2312" w:cs="仿宋_GB2312" w:eastAsia="仿宋_GB2312"/>
                    </w:rPr>
                    <w:t>684.72元/m</w:t>
                  </w:r>
                </w:p>
              </w:tc>
              <w:tc>
                <w:tcPr>
                  <w:tcW w:type="dxa" w:w="310"/>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b/>
              </w:rPr>
              <w:t>注：1.本工程量为暂定工程量，最终以实际工程量为准结算；</w:t>
            </w:r>
          </w:p>
          <w:p>
            <w:pPr>
              <w:pStyle w:val="null3"/>
            </w:pPr>
            <w:r>
              <w:rPr>
                <w:rFonts w:ascii="仿宋_GB2312" w:hAnsi="仿宋_GB2312" w:cs="仿宋_GB2312" w:eastAsia="仿宋_GB2312"/>
              </w:rPr>
              <w:t xml:space="preserve">    </w:t>
            </w:r>
            <w:r>
              <w:rPr>
                <w:rFonts w:ascii="仿宋_GB2312" w:hAnsi="仿宋_GB2312" w:cs="仿宋_GB2312" w:eastAsia="仿宋_GB2312"/>
                <w:b/>
              </w:rPr>
              <w:t xml:space="preserve">   2.本项目结算金额的总价高于预算金额时以本项目预算金额作为结算金额。结算金额低于预算金额时据实结算。</w:t>
            </w:r>
          </w:p>
          <w:p>
            <w:pPr>
              <w:pStyle w:val="null3"/>
            </w:pPr>
            <w:r>
              <w:rPr>
                <w:rFonts w:ascii="仿宋_GB2312" w:hAnsi="仿宋_GB2312" w:cs="仿宋_GB2312" w:eastAsia="仿宋_GB2312"/>
                <w:b/>
              </w:rPr>
              <w:t>五、安全要求</w:t>
            </w:r>
          </w:p>
          <w:p>
            <w:pPr>
              <w:pStyle w:val="null3"/>
            </w:pPr>
            <w:r>
              <w:rPr>
                <w:rFonts w:ascii="仿宋_GB2312" w:hAnsi="仿宋_GB2312" w:cs="仿宋_GB2312" w:eastAsia="仿宋_GB2312"/>
              </w:rPr>
              <w:t>1.供应商应制定可靠的施工方案和安全事故应急救援方案，采取有效安全防护措施，确保无安全事故发生。</w:t>
            </w:r>
            <w:r>
              <w:br/>
            </w:r>
            <w:r>
              <w:rPr>
                <w:rFonts w:ascii="仿宋_GB2312" w:hAnsi="仿宋_GB2312" w:cs="仿宋_GB2312" w:eastAsia="仿宋_GB2312"/>
              </w:rPr>
              <w:t xml:space="preserve"> 2.按规定配备专职安全员。现场项目经理和专职安全员必须持有安全生产考核合格证。各作业班组长和施工作业人员必须经安全技术培训方可上岗。</w:t>
            </w:r>
          </w:p>
          <w:p>
            <w:pPr>
              <w:pStyle w:val="null3"/>
            </w:pPr>
            <w:r>
              <w:rPr>
                <w:rFonts w:ascii="仿宋_GB2312" w:hAnsi="仿宋_GB2312" w:cs="仿宋_GB2312" w:eastAsia="仿宋_GB2312"/>
              </w:rPr>
              <w:t>3.机械施工、运输严格遵守《建筑机械使用安全技术规程》，机械操作、驾驶人员必须持证上岗。</w:t>
            </w:r>
          </w:p>
          <w:p>
            <w:pPr>
              <w:pStyle w:val="null3"/>
            </w:pPr>
            <w:r>
              <w:rPr>
                <w:rFonts w:ascii="仿宋_GB2312" w:hAnsi="仿宋_GB2312" w:cs="仿宋_GB2312" w:eastAsia="仿宋_GB2312"/>
                <w:b/>
              </w:rPr>
              <w:t>六、工程施工基本要求</w:t>
            </w:r>
          </w:p>
          <w:p>
            <w:pPr>
              <w:pStyle w:val="null3"/>
            </w:pPr>
            <w:r>
              <w:rPr>
                <w:rFonts w:ascii="仿宋_GB2312" w:hAnsi="仿宋_GB2312" w:cs="仿宋_GB2312" w:eastAsia="仿宋_GB2312"/>
              </w:rPr>
              <w:t>1、供应商必须配备足够的人员和充足的机械设备进入实施，确保按时保质保量完成任务。</w:t>
            </w:r>
            <w:r>
              <w:br/>
            </w:r>
            <w:r>
              <w:rPr>
                <w:rFonts w:ascii="仿宋_GB2312" w:hAnsi="仿宋_GB2312" w:cs="仿宋_GB2312" w:eastAsia="仿宋_GB2312"/>
              </w:rPr>
              <w:t xml:space="preserve"> 2、必须严密组织，文明施工，作好四周维护及安全环保措施，所需费用由供应商承担，施工过程必须严格遵守政府相关规定。</w:t>
            </w:r>
            <w:r>
              <w:br/>
            </w:r>
            <w:r>
              <w:rPr>
                <w:rFonts w:ascii="仿宋_GB2312" w:hAnsi="仿宋_GB2312" w:cs="仿宋_GB2312" w:eastAsia="仿宋_GB2312"/>
              </w:rPr>
              <w:t xml:space="preserve"> 3、严格遵守西安市关于控制扬尘污染、治污减霾的相关规定，并承担一切安全事故或违规处罚所带来的经济及法律责任。</w:t>
            </w:r>
            <w:r>
              <w:br/>
            </w:r>
            <w:r>
              <w:rPr>
                <w:rFonts w:ascii="仿宋_GB2312" w:hAnsi="仿宋_GB2312" w:cs="仿宋_GB2312" w:eastAsia="仿宋_GB2312"/>
              </w:rPr>
              <w:t xml:space="preserve"> 4、在施工前，供应商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r>
              <w:br/>
            </w:r>
            <w:r>
              <w:rPr>
                <w:rFonts w:ascii="仿宋_GB2312" w:hAnsi="仿宋_GB2312" w:cs="仿宋_GB2312" w:eastAsia="仿宋_GB2312"/>
              </w:rPr>
              <w:t xml:space="preserve"> 5、供应商负责现场安全管理工作，并承担全部责任及由此产生的全部费用，现场人员由供应商按照相关规定办理相关保险事宜。</w:t>
            </w:r>
          </w:p>
          <w:p>
            <w:pPr>
              <w:pStyle w:val="null3"/>
            </w:pPr>
            <w:r>
              <w:rPr>
                <w:rFonts w:ascii="仿宋_GB2312" w:hAnsi="仿宋_GB2312" w:cs="仿宋_GB2312" w:eastAsia="仿宋_GB2312"/>
                <w:b/>
              </w:rPr>
              <w:t>七、技术规范及要求:</w:t>
            </w:r>
            <w:r>
              <w:br/>
            </w:r>
            <w:r>
              <w:rPr>
                <w:rFonts w:ascii="仿宋_GB2312" w:hAnsi="仿宋_GB2312" w:cs="仿宋_GB2312" w:eastAsia="仿宋_GB2312"/>
                <w:b/>
              </w:rPr>
              <w:t>(一)执行的法律法规、技术规范包括但不限于以下规定、规范、标准:</w:t>
            </w:r>
          </w:p>
          <w:p>
            <w:pPr>
              <w:pStyle w:val="null3"/>
            </w:pPr>
            <w:r>
              <w:rPr>
                <w:rFonts w:ascii="仿宋_GB2312" w:hAnsi="仿宋_GB2312" w:cs="仿宋_GB2312" w:eastAsia="仿宋_GB2312"/>
              </w:rPr>
              <w:t>《安全生产法》中华人民共和国主席令第八十八号;</w:t>
            </w:r>
          </w:p>
          <w:p>
            <w:pPr>
              <w:pStyle w:val="null3"/>
            </w:pPr>
            <w:r>
              <w:rPr>
                <w:rFonts w:ascii="仿宋_GB2312" w:hAnsi="仿宋_GB2312" w:cs="仿宋_GB2312" w:eastAsia="仿宋_GB2312"/>
              </w:rPr>
              <w:t>《建设工程安全生产管理条例》中华人民共和国国务院令第393号:</w:t>
            </w:r>
            <w:r>
              <w:br/>
            </w:r>
            <w:r>
              <w:rPr>
                <w:rFonts w:ascii="仿宋_GB2312" w:hAnsi="仿宋_GB2312" w:cs="仿宋_GB2312" w:eastAsia="仿宋_GB2312"/>
              </w:rPr>
              <w:t xml:space="preserve"> 《西安市扬尘污染防治条例》;</w:t>
            </w:r>
            <w:r>
              <w:br/>
            </w:r>
            <w:r>
              <w:rPr>
                <w:rFonts w:ascii="仿宋_GB2312" w:hAnsi="仿宋_GB2312" w:cs="仿宋_GB2312" w:eastAsia="仿宋_GB2312"/>
              </w:rPr>
              <w:t xml:space="preserve"> 《西安高新区治污减霾网格化管理工作实施方案》;</w:t>
            </w:r>
            <w:r>
              <w:br/>
            </w:r>
            <w:r>
              <w:rPr>
                <w:rFonts w:ascii="仿宋_GB2312" w:hAnsi="仿宋_GB2312" w:cs="仿宋_GB2312" w:eastAsia="仿宋_GB2312"/>
              </w:rPr>
              <w:t xml:space="preserve"> 《西安市建筑垃圾管理办法》:</w:t>
            </w:r>
            <w:r>
              <w:br/>
            </w:r>
            <w:r>
              <w:rPr>
                <w:rFonts w:ascii="仿宋_GB2312" w:hAnsi="仿宋_GB2312" w:cs="仿宋_GB2312" w:eastAsia="仿宋_GB2312"/>
              </w:rPr>
              <w:t xml:space="preserve"> 如有最新的法律法规、技术规范发布，按最新的文件执行，</w:t>
            </w:r>
            <w:r>
              <w:br/>
            </w:r>
            <w:r>
              <w:rPr>
                <w:rFonts w:ascii="仿宋_GB2312" w:hAnsi="仿宋_GB2312" w:cs="仿宋_GB2312" w:eastAsia="仿宋_GB2312"/>
                <w:b/>
              </w:rPr>
              <w:t>(二)质量标准</w:t>
            </w:r>
            <w:r>
              <w:br/>
            </w:r>
            <w:r>
              <w:rPr>
                <w:rFonts w:ascii="仿宋_GB2312" w:hAnsi="仿宋_GB2312" w:cs="仿宋_GB2312" w:eastAsia="仿宋_GB2312"/>
              </w:rPr>
              <w:t xml:space="preserve"> 1.按城市管理部门要求安装冲洗台、限高栏、联网监控和空气检测装置等，确保设备正常使用。</w:t>
            </w:r>
          </w:p>
          <w:p>
            <w:pPr>
              <w:pStyle w:val="null3"/>
            </w:pPr>
            <w:r>
              <w:rPr>
                <w:rFonts w:ascii="仿宋_GB2312" w:hAnsi="仿宋_GB2312" w:cs="仿宋_GB2312" w:eastAsia="仿宋_GB2312"/>
              </w:rPr>
              <w:t>2.施工单位负责协调村内及周边关系。</w:t>
            </w:r>
          </w:p>
          <w:p>
            <w:pPr>
              <w:pStyle w:val="null3"/>
            </w:pPr>
            <w:r>
              <w:rPr>
                <w:rFonts w:ascii="仿宋_GB2312" w:hAnsi="仿宋_GB2312" w:cs="仿宋_GB2312" w:eastAsia="仿宋_GB2312"/>
                <w:b/>
              </w:rPr>
              <w:t>八、商务要求</w:t>
            </w:r>
          </w:p>
          <w:p>
            <w:pPr>
              <w:pStyle w:val="null3"/>
            </w:pPr>
            <w:r>
              <w:rPr>
                <w:rFonts w:ascii="仿宋_GB2312" w:hAnsi="仿宋_GB2312" w:cs="仿宋_GB2312" w:eastAsia="仿宋_GB2312"/>
              </w:rPr>
              <w:t>1.工期:自合同签订之日起</w:t>
            </w:r>
            <w:r>
              <w:rPr>
                <w:rFonts w:ascii="仿宋_GB2312" w:hAnsi="仿宋_GB2312" w:cs="仿宋_GB2312" w:eastAsia="仿宋_GB2312"/>
                <w:b/>
              </w:rPr>
              <w:t>15个日历天</w:t>
            </w:r>
            <w:r>
              <w:rPr>
                <w:rFonts w:ascii="仿宋_GB2312" w:hAnsi="仿宋_GB2312" w:cs="仿宋_GB2312" w:eastAsia="仿宋_GB2312"/>
              </w:rPr>
              <w:t>内竣工。在双方商定的有效日历日内完成本项目，若遇不可抗拒因素，工期顺延;</w:t>
            </w:r>
            <w:r>
              <w:br/>
            </w:r>
            <w:r>
              <w:rPr>
                <w:rFonts w:ascii="仿宋_GB2312" w:hAnsi="仿宋_GB2312" w:cs="仿宋_GB2312" w:eastAsia="仿宋_GB2312"/>
              </w:rPr>
              <w:t xml:space="preserve"> 2.质量要求:合格;</w:t>
            </w:r>
          </w:p>
          <w:p>
            <w:pPr>
              <w:pStyle w:val="null3"/>
            </w:pPr>
            <w:r>
              <w:rPr>
                <w:rFonts w:ascii="仿宋_GB2312" w:hAnsi="仿宋_GB2312" w:cs="仿宋_GB2312" w:eastAsia="仿宋_GB2312"/>
              </w:rPr>
              <w:t>3.付款方式</w:t>
            </w:r>
          </w:p>
          <w:p>
            <w:pPr>
              <w:pStyle w:val="null3"/>
            </w:pPr>
            <w:r>
              <w:rPr>
                <w:rFonts w:ascii="仿宋_GB2312" w:hAnsi="仿宋_GB2312" w:cs="仿宋_GB2312" w:eastAsia="仿宋_GB2312"/>
              </w:rPr>
              <w:t>(1)最终根据实际工程量与中标单价据实结算，结算金额以审计结果为准;</w:t>
            </w:r>
          </w:p>
          <w:p>
            <w:pPr>
              <w:pStyle w:val="null3"/>
            </w:pPr>
            <w:r>
              <w:rPr>
                <w:rFonts w:ascii="仿宋_GB2312" w:hAnsi="仿宋_GB2312" w:cs="仿宋_GB2312" w:eastAsia="仿宋_GB2312"/>
              </w:rPr>
              <w:t>(2)支付方式:以双方认可的工程结算书载明的实际围墙圈建量(米)为计算单位，合同签订后支付合同价款的30%;围墙圈建工作完成且验收合格后支付至合同价款的70%;该工程验收完成后需报请审计局进行审计，审计报告出具后10个工作日内甲方向乙方付清尾款，最终以审计单位出具的审计价格予以结清尾款。</w:t>
            </w:r>
          </w:p>
          <w:p>
            <w:pPr>
              <w:pStyle w:val="null3"/>
            </w:pPr>
            <w:r>
              <w:rPr>
                <w:rFonts w:ascii="仿宋_GB2312" w:hAnsi="仿宋_GB2312" w:cs="仿宋_GB2312" w:eastAsia="仿宋_GB2312"/>
              </w:rPr>
              <w:t>注:每次付款前乙方需向甲方提供符合税务要求的等额发票。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符合磋商文件要求及达到国家及省市相关建设工程质量标准的规定，达到“合格”要求。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符合采购人采购需求。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注：成交供应商中标后需提供纸质响应文件3份（一正两副）电子版1份，纸质响应文件需胶装，递交地址：西安市未央区御井路3995号国机集团研发中心南幢6层招标部。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具有独立承担民事责任能力，提供有效的主体资格证明：具有独立承担民事责任能力的法人或其他组织或自然人，法人提供有效的营业执照，事业单位提供事业单位法人证书，其他组织提供相关证明材料、自然人应提供身份证；（2）具有良好的商业信誉和健全的财务会计制度提供2023年度经审计的财务报告（包括四表一注，即资产负债表、利润表、现金流量表、所有者权益变动表及其附注）；事业法人提供部门决算报告；/或在磋商截止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4）具有依法缴纳税收的良好记录提供缴费所属日期为响应文件递交截止时间前12个月内任一月份（开启时间当月不计入）的缴费凭据（任意税种）或税务机关出具的完税证明/在法规范围内不需提供的应出具书面说明和证明文件；/或具有依法缴纳税收的诚信声明；以上二种形式的资料提供任何一种即可。（5）社会保障资金缴纳证明：提供缴费所属日期为响应文件递交截止时间前12个月内任一月份（开启时间当月不计入）的缴费凭据或社保机关出具的缴费证明/在法规范围内不需提供的应出具书面说明和证明文件；/或具有依法缴纳税收的诚信声明；以上二种形式的资料提供任何一种即可。 （6）提供参加政府采购活动前三年内在经营活动中没有重大违法记录的书面声明（原件）；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事业法人提供部门决算报告；/或在磋商截止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拟派项目经理具有专业二级及以上注册建造师证书，具备有效的安全生产考核合格证书(B证)，在本单位注册且未在其他在建工程担任项目经理。(提供证明资料及无在建承诺) 专业：建筑工程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具备建设行政主管部门颁发的建筑工程施工总承包三级及以上资质，具有建设行政主管部门颁发的安全生产许可证。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并提供本人身份证复印件（或扫描件）；法定代表人授权他人参加投标的，须提供法定代表人委托授权书，附法定代表人及被授权代表身份证复印件（或扫描件）。竞争性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失信被执行人和重大税收违法失信主体的供应商，不得为中国政府采购(www.ccgp.gov.cn)政府采购严重违法失信行为记录名单中被财政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分项报价表（一次）.docx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技术方案.docx 供应商类似项目业绩一览表.docx 中小企业声明函 响应文件封面 分项报价表（一次）.docx 供应商应提交的相关资格证明材料.docx 残疾人福利性单位声明函 报价函 技术和商务偏离表.docx 标的清单 项目管理机构组成表.docx 响应函 合同条款响应.docx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符合“响应文件格式”的规定。</w:t>
            </w:r>
          </w:p>
        </w:tc>
        <w:tc>
          <w:tcPr>
            <w:tcW w:type="dxa" w:w="1661"/>
          </w:tcPr>
          <w:p>
            <w:pPr>
              <w:pStyle w:val="null3"/>
            </w:pPr>
            <w:r>
              <w:rPr>
                <w:rFonts w:ascii="仿宋_GB2312" w:hAnsi="仿宋_GB2312" w:cs="仿宋_GB2312" w:eastAsia="仿宋_GB2312"/>
              </w:rPr>
              <w:t>技术方案.docx 供应商类似项目业绩一览表.docx 中小企业声明函 响应文件封面 分项报价表（一次）.docx 供应商应提交的相关资格证明材料.docx 残疾人福利性单位声明函 报价函 技术和商务偏离表.docx 标的清单 项目管理机构组成表.docx 响应函 合同条款响应.docx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技术和商务偏离表.docx 合同条款响应.docx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分项报价表（一次）.docx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技术和商务偏离表.docx 合同条款响应.docx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应满足竞争性磋商文件的规定。</w:t>
            </w:r>
          </w:p>
        </w:tc>
        <w:tc>
          <w:tcPr>
            <w:tcW w:type="dxa" w:w="1661"/>
          </w:tcPr>
          <w:p>
            <w:pPr>
              <w:pStyle w:val="null3"/>
            </w:pPr>
            <w:r>
              <w:rPr>
                <w:rFonts w:ascii="仿宋_GB2312" w:hAnsi="仿宋_GB2312" w:cs="仿宋_GB2312" w:eastAsia="仿宋_GB2312"/>
              </w:rPr>
              <w:t>技术和商务偏离表.docx 响应函 合同条款响应.docx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评审内容： ①项目理解；②施工准备;③施工方法；④重点难点工程分析及解决措施；⑤影响正常施工外在因素分析及对应预案等。每项最高分为3分，满分15分。 评审标准： 1.各项方案内容完全满足项目采购需求，切合项目实际情况、具有针对性，每个要点均有展开详细的阐述的计3分；各项方案内容基本满足项目需求的计2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的计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工程质量的技术组织措施</w:t>
            </w:r>
          </w:p>
        </w:tc>
        <w:tc>
          <w:tcPr>
            <w:tcW w:type="dxa" w:w="2492"/>
          </w:tcPr>
          <w:p>
            <w:pPr>
              <w:pStyle w:val="null3"/>
            </w:pPr>
            <w:r>
              <w:rPr>
                <w:rFonts w:ascii="仿宋_GB2312" w:hAnsi="仿宋_GB2312" w:cs="仿宋_GB2312" w:eastAsia="仿宋_GB2312"/>
              </w:rPr>
              <w:t>评审内容： ①质量管理工作流程；②工程质量保障方案；③工程质量控制体系；④材料和构配件的质量控制等；⑤施工检测及工序交验方案等。每项最高分为2分，满分10分。 评审标准： 1.各项方案内容完全满足项目采购需求，切合项目实际情况、具有针对性，每个要点均有展开详细的阐述的计2分；各项方案内容基本满足项目需求的计1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的计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安全生产技术组织措 施</w:t>
            </w:r>
          </w:p>
        </w:tc>
        <w:tc>
          <w:tcPr>
            <w:tcW w:type="dxa" w:w="2492"/>
          </w:tcPr>
          <w:p>
            <w:pPr>
              <w:pStyle w:val="null3"/>
            </w:pPr>
            <w:r>
              <w:rPr>
                <w:rFonts w:ascii="仿宋_GB2312" w:hAnsi="仿宋_GB2312" w:cs="仿宋_GB2312" w:eastAsia="仿宋_GB2312"/>
              </w:rPr>
              <w:t>评审内容： ①安全管理制度；②配置安全组织机构；③安全隐患排查、整改制度；④人员行为规范；⑤应急救援方案等。每项最高分为2分，满分10分。 评审标准： 1.各项方案内容完全满足项目采购需求，切合项目实际情况、具有针对性，每个要点均有展开详细的阐述的计2分；各项方案内容基本满足项目需求的计1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的计0.5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评审内容： ①文明及环境保护管理制度；②防尘抑尘降尘降噪等措施；③雨季施工管理防范措施；④文明及环境保护施工监督检查机制等。每项最高分为2.5分，满分10分。 评审标准： 1.各项方案内容完全满足项目采购需求，切合项目实际情况、具有针对性，每个要点均有展开详细的阐述的计2.5分；各项方案内容基本满足项目需求的计2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的计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评审内容： ①项目管理机构图;②岗位安排及职责（配备施工员、安全员、资料员、材料员、质量员）；③管理制度；④相应的协调措施等。每项最高分为2分，满分8分。 评审标准： 1.各项方案内容完全满足项目采购需求，切合项目实际情况、具有针对性，每个要点均有展开详细的阐述的计2分；各项方案内容基本满足项目需求的计1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的计0.5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评审内容： ①施工进度安排；②工期目标控制和保证措施；③材料供应措施。每项最高分为2分，满分6分。 评审标准： 1.各项方案内容完全满足项目采购需求，切合项目实际情况、具有针对性，每个要点均有展开详细的阐述的计2分；各项方案内容基本满足项目需求的计1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的计0.5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 投入计划</w:t>
            </w:r>
          </w:p>
        </w:tc>
        <w:tc>
          <w:tcPr>
            <w:tcW w:type="dxa" w:w="2492"/>
          </w:tcPr>
          <w:p>
            <w:pPr>
              <w:pStyle w:val="null3"/>
            </w:pPr>
            <w:r>
              <w:rPr>
                <w:rFonts w:ascii="仿宋_GB2312" w:hAnsi="仿宋_GB2312" w:cs="仿宋_GB2312" w:eastAsia="仿宋_GB2312"/>
              </w:rPr>
              <w:t>评审内容： ①施工机械配置计划；②施工材料投入计划；③施工机械的维护保养和材料的贮存；④施工机械、材料的监督和检查等。每项最高分为2分，满分8分。 评审标准： 1.各项方案内容完全满足项目采购需求，切合项目实际情况、具有针对性，每个要点均有展开详细的阐述的计2分；各项方案内容基本满足项目需求的计1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的计0.5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技术和商务偏离表.docx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以来类似项目业绩；每提供1份计1分，最高得3分。业绩以合同复印件或扫描件为准（至少包含合同首页、施工内容页、签字盖章页），否则业绩不予认可。弄虚作假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低的磋商报价为评审基准价，其价格分为满分。其他供应商的价格分统一按照下列公式计算：磋商报价得分=30×（评审基准价/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分项报价表（一次）.docx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详见附件：项目管理机构组成表.docx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详见附件：分项报价表（一次）.docx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