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版本号：SXDC2025-ZB-0920250325001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高陵区城乡生活垃圾收运处置体系规划编制服务项目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SXDC2025-ZB-09</w:t>
      </w:r>
      <w:r>
        <w:br/>
      </w:r>
      <w:r>
        <w:br/>
      </w:r>
      <w:r>
        <w:br/>
      </w:r>
    </w:p>
    <w:p>
      <w:pPr>
        <w:pStyle w:val="null3"/>
        <w:jc w:val="center"/>
        <w:outlineLvl w:val="2"/>
      </w:pPr>
      <w:r>
        <w:rPr>
          <w:rFonts w:ascii="仿宋_GB2312" w:hAnsi="仿宋_GB2312" w:cs="仿宋_GB2312" w:eastAsia="仿宋_GB2312"/>
          <w:sz w:val="28"/>
          <w:b/>
        </w:rPr>
        <w:t>西安市高陵区城市管理和综合执法局</w:t>
      </w:r>
    </w:p>
    <w:p>
      <w:pPr>
        <w:pStyle w:val="null3"/>
        <w:jc w:val="center"/>
        <w:outlineLvl w:val="2"/>
      </w:pPr>
      <w:r>
        <w:rPr>
          <w:rFonts w:ascii="仿宋_GB2312" w:hAnsi="仿宋_GB2312" w:cs="仿宋_GB2312" w:eastAsia="仿宋_GB2312"/>
          <w:sz w:val="28"/>
          <w:b/>
        </w:rPr>
        <w:t>陕西迪诚项目管理有限公司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陕西迪诚项目管理有限公司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西安市高陵区城市管理和综合执法局</w:t>
      </w:r>
      <w:r>
        <w:rPr>
          <w:rFonts w:ascii="仿宋_GB2312" w:hAnsi="仿宋_GB2312" w:cs="仿宋_GB2312" w:eastAsia="仿宋_GB2312"/>
        </w:rPr>
        <w:t>委托，拟对</w:t>
      </w:r>
      <w:r>
        <w:rPr>
          <w:rFonts w:ascii="仿宋_GB2312" w:hAnsi="仿宋_GB2312" w:cs="仿宋_GB2312" w:eastAsia="仿宋_GB2312"/>
        </w:rPr>
        <w:t>高陵区城乡生活垃圾收运处置体系规划编制服务项目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SXDC2025-ZB-09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高陵区城乡生活垃圾收运处置体系规划编制服务项目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本项目拟采购引入专业社会化服务供应商，摸清城乡生活垃圾产生现状和发展趋势，研究生活垃圾处理的方式方法， 以及农村生活垃圾分类投放、收集、转运、处理、资源化利用，合理确定设施类型、数量和规模，统筹衔接城乡生活垃圾 收运处置、再生资源回收利用、有害垃圾收运处置等体系的建设和运用管理。该采购项目需紧扣解决当前存在问题和着眼 于长远发展、规范处置成效和政策措施有效落地，全面提升我区环境卫生建设管理水平。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采购包1（高陵区城乡生活垃圾收运处置体系规划编制服务项目）：属于专门面向中小企业采购。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书：法定代表人授权书（附法定代表人、被授权人身份证复印件）及被授权人身份证复印件（法定代表人直接参加招标，须提供法定代表人身份证明书）；非法人单位参照执行。</w:t>
      </w:r>
    </w:p>
    <w:p>
      <w:pPr>
        <w:pStyle w:val="null3"/>
      </w:pPr>
      <w:r>
        <w:rPr>
          <w:rFonts w:ascii="仿宋_GB2312" w:hAnsi="仿宋_GB2312" w:cs="仿宋_GB2312" w:eastAsia="仿宋_GB2312"/>
        </w:rPr>
        <w:t>2、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3、关联关系：单位负责人为同一人或者存在直接控股、管理关系的不同投标人，不得参加同一合同项下的政府采购活动；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4、资质：供应商具有行政主管部门颁发的城乡规划编制乙级（含）以上资质和工程咨询资信乙级（含）以上资质证书；</w:t>
      </w:r>
    </w:p>
    <w:p>
      <w:pPr>
        <w:pStyle w:val="null3"/>
      </w:pPr>
      <w:r>
        <w:rPr>
          <w:rFonts w:ascii="仿宋_GB2312" w:hAnsi="仿宋_GB2312" w:cs="仿宋_GB2312" w:eastAsia="仿宋_GB2312"/>
        </w:rPr>
        <w:t>5、本项目不接受联合体投标（提供承诺函）；：本项目不接受联合体投标（提供承诺函）；</w:t>
      </w:r>
    </w:p>
    <w:p>
      <w:pPr>
        <w:pStyle w:val="null3"/>
      </w:pPr>
      <w:r>
        <w:rPr>
          <w:rFonts w:ascii="仿宋_GB2312" w:hAnsi="仿宋_GB2312" w:cs="仿宋_GB2312" w:eastAsia="仿宋_GB2312"/>
        </w:rPr>
        <w:t>6、有效的主体资格证明：具有独立承担民事责任能力的法人、其他组织或自然人，并出具合法有效的营业执照或事业单位法人证书等国家规定的相关证明，自然人参与的提供其身份证明书；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7、税收缴纳证明：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8、社会保障资金缴纳证明：提供投标截止日前6个月内已缴存的至少一个月的社会保障资金缴存单据或社保机构开具的社会保险参保缴费情况证明，依法不需要缴纳社会保障资金的单位应提供相关证明材料；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9、财务状况报告：提供2023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10、无重大违法记录：参加政府采购活动前3年内，在经营活动中没有重大违法记录（提供书面声明）；</w:t>
      </w:r>
    </w:p>
    <w:p>
      <w:pPr>
        <w:pStyle w:val="null3"/>
      </w:pPr>
      <w:r>
        <w:rPr>
          <w:rFonts w:ascii="仿宋_GB2312" w:hAnsi="仿宋_GB2312" w:cs="仿宋_GB2312" w:eastAsia="仿宋_GB2312"/>
        </w:rPr>
        <w:t>11、履约能力：提供具有履行本合同所必需的设备和专业技术能力的承诺（提供承诺书）；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西安市高陵区北广场路552号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029-86912151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陕西迪诚项目管理有限公司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西安市未央区凤城四路世融国际中心A厅805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029-86256981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西安市高陵区城市管理和综合执法局</w:t>
      </w:r>
      <w:r>
        <w:rPr>
          <w:rFonts w:ascii="仿宋_GB2312" w:hAnsi="仿宋_GB2312" w:cs="仿宋_GB2312" w:eastAsia="仿宋_GB2312"/>
        </w:rPr>
        <w:t>和</w:t>
      </w:r>
      <w:r>
        <w:rPr>
          <w:rFonts w:ascii="仿宋_GB2312" w:hAnsi="仿宋_GB2312" w:cs="仿宋_GB2312" w:eastAsia="仿宋_GB2312"/>
        </w:rPr>
        <w:t>陕西迪诚项目管理有限公司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陕西迪诚项目管理有限公司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陕西迪诚项目管理有限公司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陕西迪诚项目管理有限公司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联系人：高工</w:t>
      </w:r>
    </w:p>
    <w:p>
      <w:pPr>
        <w:pStyle w:val="null3"/>
      </w:pPr>
      <w:r>
        <w:rPr>
          <w:rFonts w:ascii="仿宋_GB2312" w:hAnsi="仿宋_GB2312" w:cs="仿宋_GB2312" w:eastAsia="仿宋_GB2312"/>
        </w:rPr>
        <w:t>联系电话：029-86256981</w:t>
      </w:r>
    </w:p>
    <w:p>
      <w:pPr>
        <w:pStyle w:val="null3"/>
      </w:pPr>
      <w:r>
        <w:rPr>
          <w:rFonts w:ascii="仿宋_GB2312" w:hAnsi="仿宋_GB2312" w:cs="仿宋_GB2312" w:eastAsia="仿宋_GB2312"/>
        </w:rPr>
        <w:t>地址：西安市未央区凤城四路世融国际中心A厅805</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引入专业社会化服务供应商，摸清城乡生活垃圾产生现状和发展趋势，研究生活垃圾处理的方式方法，以及农村生活垃圾分类投放、收集、转运、处理、资源化利用，合理确定设施类型、数量和规模，统筹衔接城乡生活垃圾收运处置、再生资源回收利用、有害垃圾收运处置等体系的建设和运用管理。该采购项目需紧扣解决当前存在问题和着眼于长远发展、规范处置成效和政策措施有效落地，全面提升我区环境卫生建设管理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编制服务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标的名称：编制服务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一、高陵区城乡生活垃圾收运处置体系规划编制服务项目分为中心城区环境卫生工程专项规划编制和城乡生活垃圾收运处置体系规划编制两部分。</w:t>
            </w:r>
            <w:r>
              <w:br/>
            </w:r>
            <w:r>
              <w:rPr>
                <w:rFonts w:ascii="仿宋_GB2312" w:hAnsi="仿宋_GB2312" w:cs="仿宋_GB2312" w:eastAsia="仿宋_GB2312"/>
              </w:rPr>
              <w:t xml:space="preserve"> 1、中心城区环境卫生工程专项规划编制，主要规划内容包括:总则、垃圾产生量预测、垃圾收运、转运及处理体系规划、环卫公共设施规划、环卫工程设施规划、保洁规划、环卫工作场所规划、环卫应急处理预案和实施保障措施建议等方面。</w:t>
            </w:r>
            <w:r>
              <w:br/>
            </w:r>
            <w:r>
              <w:rPr>
                <w:rFonts w:ascii="仿宋_GB2312" w:hAnsi="仿宋_GB2312" w:cs="仿宋_GB2312" w:eastAsia="仿宋_GB2312"/>
              </w:rPr>
              <w:t xml:space="preserve"> 2、城乡生活垃圾收运处置体系规划编制，主要规划内容包括:总则、规划目标、产生量及处理量预测、城乡生活垃圾收运处置体系规划、农村生活垃圾分类规划、近期建设与投资估算、实施保障及效益分析等方面。</w:t>
            </w:r>
          </w:p>
          <w:p>
            <w:pPr>
              <w:pStyle w:val="null3"/>
            </w:pPr>
            <w:r>
              <w:rPr>
                <w:rFonts w:ascii="仿宋_GB2312" w:hAnsi="仿宋_GB2312" w:cs="仿宋_GB2312" w:eastAsia="仿宋_GB2312"/>
              </w:rPr>
              <w:t>二、质量标准:规划编制成果应符合国家和地方有关法律法规、标准规范以及高陵区的实际情况。充分考虑高陵区城乡发展的长远需求，具有前瞻性、科学性和可实施性。确保规划方案能够有效指导高陵区城乡生活垃圾收运处置体系的建设和运营，提高垃圾处理效率，改善城乡环境质量。</w:t>
            </w:r>
            <w:r>
              <w:br/>
            </w:r>
            <w:r>
              <w:rPr>
                <w:rFonts w:ascii="仿宋_GB2312" w:hAnsi="仿宋_GB2312" w:cs="仿宋_GB2312" w:eastAsia="仿宋_GB2312"/>
              </w:rPr>
              <w:t xml:space="preserve"> 三、保密要求:供应商应对在项目实施过程中获取的高陵区相关资料和信息严格保密,未经采购人书面同意,不得向任何第三方披露。在项目结束后，应及时归还或销毁相关资料。</w:t>
            </w:r>
          </w:p>
          <w:p>
            <w:pPr>
              <w:pStyle w:val="null3"/>
            </w:pPr>
            <w:r>
              <w:rPr>
                <w:rFonts w:ascii="仿宋_GB2312" w:hAnsi="仿宋_GB2312" w:cs="仿宋_GB2312" w:eastAsia="仿宋_GB2312"/>
              </w:rPr>
              <w:t>四、资料完整性:供应商提交的规划编制报告及相关资料应齐全，包括但不限于规划文本、图纸、说明书、调研报告、专家论证意见等。</w:t>
            </w:r>
            <w:r>
              <w:br/>
            </w:r>
            <w:r>
              <w:rPr>
                <w:rFonts w:ascii="仿宋_GB2312" w:hAnsi="仿宋_GB2312" w:cs="仿宋_GB2312" w:eastAsia="仿宋_GB2312"/>
              </w:rPr>
              <w:t xml:space="preserve"> 五、内容准确性:规划内容应准确反映高陵区城乡生活垃圾收运处置的现状和问题，提出的规划目标、措施和方案合理可行，符合国家和地方相关标准规范以及高陵区的发展规划。</w:t>
            </w:r>
          </w:p>
          <w:p>
            <w:pPr>
              <w:pStyle w:val="null3"/>
            </w:pPr>
            <w:r>
              <w:rPr>
                <w:rFonts w:ascii="仿宋_GB2312" w:hAnsi="仿宋_GB2312" w:cs="仿宋_GB2312" w:eastAsia="仿宋_GB2312"/>
              </w:rPr>
              <w:t>六、成果文件要求：项目编制文本、图集、说明书8套，以及全套电子光盘2份。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供应商提交最终规划编制成果，待成果确定后，开具等额票据</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若供应商在服务过程中违反国家和地方相关法律法规、行业标准以及合同约定等保密行为，导致向第三方泄露相关资料和信息，应立即停止违约行为，采取有效措施消除影响:若给采购人造成其他损失还需承担全部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法定代表人授权书（附法定代表人、被授权人身份证复印件）及被授权人身份证复印件（法定代表人直接参加招标，须提供法定代表人身份证明书）；非法人单位参照执行。</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供应商具有行政主管部门颁发的城乡规划编制乙级（含）以上资质和工程咨询资信乙级（含）以上资质证书；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本项目不接受联合体投标（提供承诺函）；</w:t>
            </w:r>
          </w:p>
        </w:tc>
        <w:tc>
          <w:tcPr>
            <w:tcW w:type="dxa" w:w="3322"/>
          </w:tcPr>
          <w:p>
            <w:pPr>
              <w:pStyle w:val="null3"/>
            </w:pPr>
            <w:r>
              <w:rPr>
                <w:rFonts w:ascii="仿宋_GB2312" w:hAnsi="仿宋_GB2312" w:cs="仿宋_GB2312" w:eastAsia="仿宋_GB2312"/>
              </w:rPr>
              <w:t>本项目不接受联合体投标（提供承诺函）；</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至少一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或提交投标文件截止时间三个月内其基本账户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提供具有履行本合同所必需的设备和专业技术能力的承诺（提供承诺书）；</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标的清单 报价表 资格证明材料.docx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1）响应文件的签字盖章：响应文件上法定代表人或其委托代理人的签字齐全并加盖单位章 （2）响应文件格式：应符合响应文件要求 （3）报价唯一：只能有一个有效报价，不得提交选择性报价，且报价不超过最高限价 （4）第一次磋商报价：第一次磋商报价不超过最高限价</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标的清单 报价表 资格证明材料.docx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标的清单 报价表 资格证明材料.docx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 （2）服务期限：应满足磋商文件中要求的服务期 （3）服务地点：应满足磋商文件中要求的服务地点 （4）磋商有效期：应满足磋商文件中的规定</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标的清单 报价表 资格证明材料.docx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供应商提供2022年1月1日（以合同签订时间为准）至本项目磋商响应文件递交截止时间止完成过的类似项目业绩，每提供一个计1分，满分5分，不提供不得分。 注：业绩以加盖公章的合同协议书的复印件为准。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w:t>
            </w:r>
          </w:p>
        </w:tc>
        <w:tc>
          <w:tcPr>
            <w:tcW w:type="dxa" w:w="2492"/>
          </w:tcPr>
          <w:p>
            <w:pPr>
              <w:pStyle w:val="null3"/>
            </w:pPr>
            <w:r>
              <w:rPr>
                <w:rFonts w:ascii="仿宋_GB2312" w:hAnsi="仿宋_GB2312" w:cs="仿宋_GB2312" w:eastAsia="仿宋_GB2312"/>
              </w:rPr>
              <w:t>1、拟投入本项目的项目负责人具有注册城乡规划师资格证书得 2 分（提供证书复印件加盖公章）；不提供不得分 2、拟投入本项目的工作人员(不含项目负责人)具备中级或高级职称证书或注册咨询证书，每提供一个得 1 分；本小项最高得 3分（提供职称证书复印件加盖公章）；不提供不得分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服务方案完整性可操作性: 服务方案先进、方案周密、思路清晰合理、可操作性、科学性强，任务明确，得[20-25]分； 总体服务方案完整、具有可操作性、科学性，任务较为明确、得[10-20）分； 总体服务方案一般、具有一定的操作性、科学性较弱，任务不明确、得[0-10）分； 服务方案较差，有重大缺陷的不得分。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问题分析</w:t>
            </w:r>
          </w:p>
        </w:tc>
        <w:tc>
          <w:tcPr>
            <w:tcW w:type="dxa" w:w="2492"/>
          </w:tcPr>
          <w:p>
            <w:pPr>
              <w:pStyle w:val="null3"/>
            </w:pPr>
            <w:r>
              <w:rPr>
                <w:rFonts w:ascii="仿宋_GB2312" w:hAnsi="仿宋_GB2312" w:cs="仿宋_GB2312" w:eastAsia="仿宋_GB2312"/>
              </w:rPr>
              <w:t>对项目现状与发展的主要问题分析： 对项目现状分析透彻、主要问题把握全面计[5-10]分； 对项目分析清洗、问题把握基本全面计[3-5）分； 对项目分析不全面、不能满足本项目需求的计[0-3）分。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重难点分析： 对开展本项目工作的重点和难点理解充分，切合研究背景及情况，并对关键性技术问题提出建议合理，有详细的研究重点、难点及分项对策具体且完全满足项目总体要求。重点、难点分析清晰合理，重点把控准确，难点解决思路明确，解决计划可行性强，得[5-10]分； 重点、难点分析清晰，重点明确，难点解决思路一般，解决计划有可行性，得[3-5）分； 重点、难点分析模糊，重点把控一般，难点解决思路模糊，解决计划可行性一般，得[0-3）分；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人员组织安排： 针对该项目的人员组织安排合理，人员配备符合 本项目实际需求，得[7-10]分； 针对该项目的人员组织安排基本合理，人员配备 符合本项目实际需求，得[3-7）分； 针对该项目的人员组织安排一般，人员配备基本 符合本项目实际需求，得[0-3）分；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项目进度安排： 合理、工序管理措施科学、服务期限滞后弥补办 法完善、突发情况应急办法充足得[4-5]分； 较为合理、工序管理措施科学、工期滞后弥补办 法、突发情况应急办法较为充足得[2-4）分； 基本合理、有工序管理措施、工期滞后弥补办法、 突发情况应急办法基本充足得[0-2）分； 有明显瑕疵或重大缺陷的不得分。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保密工作</w:t>
            </w:r>
          </w:p>
        </w:tc>
        <w:tc>
          <w:tcPr>
            <w:tcW w:type="dxa" w:w="2492"/>
          </w:tcPr>
          <w:p>
            <w:pPr>
              <w:pStyle w:val="null3"/>
            </w:pPr>
            <w:r>
              <w:rPr>
                <w:rFonts w:ascii="仿宋_GB2312" w:hAnsi="仿宋_GB2312" w:cs="仿宋_GB2312" w:eastAsia="仿宋_GB2312"/>
              </w:rPr>
              <w:t>保密工作： 为本项目制定完整可行的安全保密措施，具备完善的内部保密制度、保密措施。 制度完善，保密承诺，措施合理可行，把控严格得 [4-5]分； 制度完整，措施可行得 [2-4）分； 保密制度和措施简单得[0-2）分；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质量管理组织机构</w:t>
            </w:r>
          </w:p>
        </w:tc>
        <w:tc>
          <w:tcPr>
            <w:tcW w:type="dxa" w:w="2492"/>
          </w:tcPr>
          <w:p>
            <w:pPr>
              <w:pStyle w:val="null3"/>
            </w:pPr>
            <w:r>
              <w:rPr>
                <w:rFonts w:ascii="仿宋_GB2312" w:hAnsi="仿宋_GB2312" w:cs="仿宋_GB2312" w:eastAsia="仿宋_GB2312"/>
              </w:rPr>
              <w:t>质量管理组织机构： 质量管理组织机构健全、服务质量保证措施得当且具有针对性、质量管理关键点分析及应对合理，后续服务承诺全面可行等相关内容,按差别计分，优计[4-5]分，良计[2-4）分，一般计[0-2）分。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服务保证措施及承诺</w:t>
            </w:r>
          </w:p>
        </w:tc>
        <w:tc>
          <w:tcPr>
            <w:tcW w:type="dxa" w:w="2492"/>
          </w:tcPr>
          <w:p>
            <w:pPr>
              <w:pStyle w:val="null3"/>
            </w:pPr>
            <w:r>
              <w:rPr>
                <w:rFonts w:ascii="仿宋_GB2312" w:hAnsi="仿宋_GB2312" w:cs="仿宋_GB2312" w:eastAsia="仿宋_GB2312"/>
              </w:rPr>
              <w:t>1.针对本项目及采购人实际需求提供切实可行的服务保证措施，出现问题有可行性方案，解决问题及时，根据响应程度计0-5分； 2.供应商在满足采购文件要求的基础上可提出更有利于采购人的承诺，综合评审赋0-5分。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1.实质性满足磋商文件要求且最终报价最低的有效报价为评标基准价,其价格分值为满分10分。 2.磋商报价得分=（磋商基准价/最终磋商报价）×10。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