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版本号：240918002</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高陵区应急管理局局机关外立面改造及修缮项目</w:t>
      </w:r>
    </w:p>
    <w:p>
      <w:pPr>
        <w:pStyle w:val="null3"/>
        <w:jc w:val="center"/>
        <w:outlineLvl w:val="2"/>
      </w:pPr>
      <w:r>
        <w:rPr>
          <w:sz w:val="28"/>
          <w:b/>
        </w:rPr>
        <w:t>采购项目编号：</w:t>
      </w:r>
      <w:r>
        <w:rPr>
          <w:sz w:val="28"/>
          <w:b/>
        </w:rPr>
        <w:t>RKZB-2024-120</w:t>
      </w:r>
      <w:r>
        <w:br/>
      </w:r>
      <w:r>
        <w:br/>
      </w:r>
      <w:r>
        <w:br/>
      </w:r>
    </w:p>
    <w:p>
      <w:pPr>
        <w:pStyle w:val="null3"/>
        <w:jc w:val="center"/>
        <w:outlineLvl w:val="2"/>
      </w:pPr>
      <w:r>
        <w:rPr>
          <w:sz w:val="28"/>
          <w:b/>
        </w:rPr>
        <w:t>西安市高陵区应急管理局</w:t>
      </w:r>
    </w:p>
    <w:p>
      <w:pPr>
        <w:pStyle w:val="null3"/>
        <w:jc w:val="center"/>
        <w:outlineLvl w:val="2"/>
      </w:pPr>
      <w:r>
        <w:rPr>
          <w:sz w:val="28"/>
          <w:b/>
        </w:rPr>
        <w:t>瑞科项目管理有限公司</w:t>
      </w:r>
      <w:r>
        <w:rPr>
          <w:sz w:val="28"/>
          <w:b/>
        </w:rPr>
        <w:t>共同编制</w:t>
      </w:r>
    </w:p>
    <w:p>
      <w:pPr>
        <w:pStyle w:val="null3"/>
        <w:jc w:val="center"/>
        <w:outlineLvl w:val="2"/>
      </w:pPr>
      <w:r>
        <w:rPr>
          <w:sz w:val="28"/>
          <w:b/>
        </w:rPr>
        <w:t>2024年09月11日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瑞科项目管理有限公司</w:t>
      </w:r>
      <w:r>
        <w:rPr/>
        <w:t>（以下简称“代理机构”）受</w:t>
      </w:r>
      <w:r>
        <w:rPr/>
        <w:t>西安市高陵区应急管理局</w:t>
      </w:r>
      <w:r>
        <w:rPr/>
        <w:t>委托，拟对</w:t>
      </w:r>
      <w:r>
        <w:rPr/>
        <w:t>高陵区应急管理局局机关外立面改造及修缮项目</w:t>
      </w:r>
      <w:r>
        <w:rPr/>
        <w:t>采用竞争性磋商采购方式进行采购，兹邀请供应商参加本项目的竞争性磋商。</w:t>
      </w:r>
    </w:p>
    <w:p>
      <w:pPr>
        <w:pStyle w:val="null3"/>
        <w:outlineLvl w:val="2"/>
      </w:pPr>
      <w:r>
        <w:rPr>
          <w:sz w:val="28"/>
          <w:b/>
        </w:rPr>
        <w:t>一、采购项目编号：</w:t>
      </w:r>
      <w:r>
        <w:rPr>
          <w:sz w:val="28"/>
          <w:b/>
        </w:rPr>
        <w:t>RKZB-2024-120</w:t>
      </w:r>
    </w:p>
    <w:p>
      <w:pPr>
        <w:pStyle w:val="null3"/>
        <w:outlineLvl w:val="2"/>
      </w:pPr>
      <w:r>
        <w:rPr>
          <w:sz w:val="28"/>
          <w:b/>
        </w:rPr>
        <w:t>二、采购项目名称：</w:t>
      </w:r>
      <w:r>
        <w:rPr>
          <w:sz w:val="28"/>
          <w:b/>
        </w:rPr>
        <w:t>高陵区应急管理局局机关外立面改造及修缮项目</w:t>
      </w:r>
    </w:p>
    <w:p>
      <w:pPr>
        <w:pStyle w:val="null3"/>
        <w:outlineLvl w:val="2"/>
      </w:pPr>
      <w:r>
        <w:rPr>
          <w:sz w:val="28"/>
          <w:b/>
        </w:rPr>
        <w:t>三、磋商项目简介</w:t>
      </w:r>
    </w:p>
    <w:p>
      <w:pPr>
        <w:pStyle w:val="null3"/>
        <w:ind w:firstLine="480"/>
      </w:pPr>
      <w:r>
        <w:rPr/>
        <w:t>本项目为高陵区应急管理局局机关外立面改造及修缮项目,包含高陵区应急管理局局机关外立面改造及修缮、道路修缮及黑化、屋面维修、景观绿化、水电安装工程等。</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采购包1（高陵区应急管理局局机关外立面改造及修缮项目）：属于专门面向中小企业采购。</w:t>
      </w:r>
    </w:p>
    <w:p>
      <w:pPr>
        <w:pStyle w:val="null3"/>
        <w:ind w:firstLine="480"/>
      </w:pPr>
      <w:r>
        <w:rPr/>
        <w:t>（三）本项目的特定资格要求：</w:t>
      </w:r>
    </w:p>
    <w:p>
      <w:pPr>
        <w:pStyle w:val="null3"/>
      </w:pPr>
      <w:r>
        <w:rPr/>
        <w:t>采购包1：</w:t>
      </w:r>
    </w:p>
    <w:p>
      <w:pPr>
        <w:pStyle w:val="null3"/>
      </w:pPr>
      <w:r>
        <w:rPr/>
        <w:t>1、供应商资质：具备有效的建筑工程施工总承包三级及以上资质或建筑装修装饰工程专业承包二级及以上资质，且具备合格有效的安全生产许可证；</w:t>
      </w:r>
    </w:p>
    <w:p>
      <w:pPr>
        <w:pStyle w:val="null3"/>
      </w:pPr>
      <w:r>
        <w:rPr/>
        <w:t>2、项目经理：拟派项目经理具备具备建筑工程二级及以上注册建造师执业资格, 具有有效的安全生产考核合格证书，在本单位注册且未担任其他在建工程项目经理；</w:t>
      </w:r>
    </w:p>
    <w:p>
      <w:pPr>
        <w:pStyle w:val="null3"/>
      </w:pPr>
      <w:r>
        <w:rPr/>
        <w:t>3、供应商及拟派项目经理信息备案：供应商及拟派项目经理信息备案：供应商及拟派项目经理须在“ 陕西省建筑市场监管与诚信信息一体化平台”备案且可查询到基本信息；</w:t>
      </w:r>
    </w:p>
    <w:p>
      <w:pPr>
        <w:pStyle w:val="null3"/>
      </w:pPr>
      <w:r>
        <w:rPr/>
        <w:t>4、非联合体投标声明：需提供非联合体投标声明函</w:t>
      </w:r>
    </w:p>
    <w:p>
      <w:pPr>
        <w:pStyle w:val="null3"/>
      </w:pPr>
      <w:r>
        <w:rPr/>
        <w:t>5、法定代表人身份证明/法定代表人授权委托书：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p>
      <w:pPr>
        <w:pStyle w:val="null3"/>
      </w:pPr>
      <w:r>
        <w:rPr/>
        <w:t>6、供应商信用：供应商不得被“信用中国”网站（www.creditchina.gov.cn）中列入失信被执行人和重大税收违法失信主体，不得为中国政府采购网（www.ccgp.gov.cn）政府采购严重违法失信行为记录名单中被财政部门禁止参加政府采购活动的供应商；（以代理机构现场查询截图为准）</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西安市高陵区应急管理局</w:t>
      </w:r>
    </w:p>
    <w:p>
      <w:pPr>
        <w:pStyle w:val="null3"/>
      </w:pPr>
      <w:r>
        <w:rPr/>
        <w:t xml:space="preserve"> 地址： </w:t>
      </w:r>
      <w:r>
        <w:rPr/>
        <w:t>西安市高陵区县门街29号</w:t>
      </w:r>
    </w:p>
    <w:p>
      <w:pPr>
        <w:pStyle w:val="null3"/>
      </w:pPr>
      <w:r>
        <w:rPr/>
        <w:t xml:space="preserve"> 邮编： </w:t>
      </w:r>
      <w:r>
        <w:rPr/>
        <w:t>/</w:t>
      </w:r>
    </w:p>
    <w:p>
      <w:pPr>
        <w:pStyle w:val="null3"/>
      </w:pPr>
      <w:r>
        <w:rPr/>
        <w:t xml:space="preserve"> 联系人： </w:t>
      </w:r>
      <w:r>
        <w:rPr/>
        <w:t>杨老师</w:t>
      </w:r>
    </w:p>
    <w:p>
      <w:pPr>
        <w:pStyle w:val="null3"/>
      </w:pPr>
      <w:r>
        <w:rPr/>
        <w:t xml:space="preserve"> 联系电话： </w:t>
      </w:r>
      <w:r>
        <w:rPr/>
        <w:t>18049631354</w:t>
      </w:r>
    </w:p>
    <w:p>
      <w:pPr>
        <w:pStyle w:val="null3"/>
        <w:outlineLvl w:val="3"/>
      </w:pPr>
      <w:r>
        <w:rPr>
          <w:sz w:val="24"/>
          <w:b/>
        </w:rPr>
        <w:t>代理机构：</w:t>
      </w:r>
      <w:r>
        <w:rPr>
          <w:sz w:val="24"/>
          <w:b/>
        </w:rPr>
        <w:t>瑞科项目管理有限公司</w:t>
      </w:r>
    </w:p>
    <w:p>
      <w:pPr>
        <w:pStyle w:val="null3"/>
      </w:pPr>
      <w:r>
        <w:rPr/>
        <w:t xml:space="preserve"> 地址： </w:t>
      </w:r>
      <w:r>
        <w:rPr/>
        <w:t>西安市经济技术开发区未央路303号保利中达广场2207室</w:t>
      </w:r>
    </w:p>
    <w:p>
      <w:pPr>
        <w:pStyle w:val="null3"/>
      </w:pPr>
      <w:r>
        <w:rPr/>
        <w:t xml:space="preserve"> 邮编： </w:t>
      </w:r>
      <w:r>
        <w:rPr/>
        <w:t>710000</w:t>
      </w:r>
    </w:p>
    <w:p>
      <w:pPr>
        <w:pStyle w:val="null3"/>
      </w:pPr>
      <w:r>
        <w:rPr/>
        <w:t xml:space="preserve"> 联系人： </w:t>
      </w:r>
      <w:r>
        <w:rPr/>
        <w:t>刘梦妮</w:t>
      </w:r>
    </w:p>
    <w:p>
      <w:pPr>
        <w:pStyle w:val="null3"/>
      </w:pPr>
      <w:r>
        <w:rPr/>
        <w:t xml:space="preserve"> 联系电话： </w:t>
      </w:r>
      <w:r>
        <w:rPr/>
        <w:t>17792642151</w:t>
      </w:r>
    </w:p>
    <w:p>
      <w:pPr>
        <w:pStyle w:val="null3"/>
        <w:outlineLvl w:val="3"/>
      </w:pPr>
      <w:r>
        <w:rPr>
          <w:sz w:val="24"/>
          <w:b/>
        </w:rPr>
        <w:t>采购监督机构：</w:t>
      </w:r>
      <w:r>
        <w:rPr>
          <w:sz w:val="24"/>
          <w:b/>
        </w:rPr>
        <w:t>西安市高陵区采购管理科</w:t>
      </w:r>
    </w:p>
    <w:p>
      <w:pPr>
        <w:pStyle w:val="null3"/>
        <w:ind w:firstLine="480"/>
      </w:pPr>
      <w:r>
        <w:rPr/>
        <w:t>联系人：</w:t>
      </w:r>
      <w:r>
        <w:rPr/>
        <w:t>药咪</w:t>
      </w:r>
    </w:p>
    <w:p>
      <w:pPr>
        <w:pStyle w:val="null3"/>
        <w:ind w:firstLine="480"/>
      </w:pPr>
      <w:r>
        <w:rPr/>
        <w:t>联系电话：</w:t>
      </w:r>
      <w:r>
        <w:rPr/>
        <w:t>029-86919290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采购包1：2,978,084.28元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代理服务费收费标准：《国家计委关于印发招标代理服务收费管理暂行办法的通知》（计价格【2002】1980 号）和国家发改委办公厅颁发的《关于招标代理服务收费有关问题的通知》（发改办价格【2003】857 号）文件规定标准下浮22%收取；</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西安市高陵区应急管理局</w:t>
      </w:r>
      <w:r>
        <w:rPr/>
        <w:t>和</w:t>
      </w:r>
      <w:r>
        <w:rPr/>
        <w:t>瑞科项目管理有限公司</w:t>
      </w:r>
      <w:r>
        <w:rPr/>
        <w:t>享有。对磋商文件中供应商参加本次政府采购活动应当具备的条件，磋商项目技术、服务、商务及其他要求，评审细则及标准由</w:t>
      </w:r>
      <w:r>
        <w:rPr/>
        <w:t>西安市高陵区应急管理局</w:t>
      </w:r>
      <w:r>
        <w:rPr/>
        <w:t>负责解释。除上述磋商文件内容，其他内容由</w:t>
      </w:r>
      <w:r>
        <w:rPr/>
        <w:t>瑞科项目管理有限公司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西安市高陵区应急管理局</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瑞科项目管理有限公司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瑞科项目管理有限公司</w:t>
      </w:r>
      <w:r>
        <w:rPr/>
        <w:t xml:space="preserve"> 负责答复；供应商对采购过程的询问、质疑由</w:t>
      </w:r>
      <w:r>
        <w:rPr/>
        <w:t>瑞科项目管理有限公司</w:t>
      </w:r>
      <w:r>
        <w:rPr/>
        <w:t xml:space="preserve"> 负责答复；供应商对采购结果的询问、质疑由 </w:t>
      </w:r>
      <w:r>
        <w:rPr/>
        <w:t>瑞科项目管理有限公司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联系人：刘梦妮</w:t>
      </w:r>
    </w:p>
    <w:p>
      <w:pPr>
        <w:pStyle w:val="null3"/>
      </w:pPr>
      <w:r>
        <w:rPr/>
        <w:t>联系电话：17792642151</w:t>
      </w:r>
    </w:p>
    <w:p>
      <w:pPr>
        <w:pStyle w:val="null3"/>
      </w:pPr>
      <w:r>
        <w:rPr/>
        <w:t>地址：西安市经济技术开发区未央路303号保利中达广场2207室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2,978,084.28</w:t>
      </w:r>
    </w:p>
    <w:p>
      <w:pPr>
        <w:pStyle w:val="null3"/>
      </w:pPr>
      <w:r>
        <w:rPr/>
        <w:t>采购包最高限价（元）: 2,978,084.28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高陵区应急管理局局机关外立面改造</w:t>
            </w:r>
          </w:p>
        </w:tc>
        <w:tc>
          <w:tcPr>
            <w:tcW w:type="dxa" w:w="1384"/>
          </w:tcPr>
          <w:p>
            <w:pPr>
              <w:pStyle w:val="null3"/>
              <w:jc w:val="right"/>
            </w:pPr>
            <w:r>
              <w:rPr/>
              <w:t>1.00</w:t>
            </w:r>
          </w:p>
        </w:tc>
        <w:tc>
          <w:tcPr>
            <w:tcW w:type="dxa" w:w="1384"/>
          </w:tcPr>
          <w:p>
            <w:pPr>
              <w:pStyle w:val="null3"/>
              <w:jc w:val="right"/>
            </w:pPr>
            <w:r>
              <w:rPr/>
              <w:t>2,978,084.28</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标的名称：高陵区应急管理局局机关外立面改造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ind w:firstLine="480"/>
            </w:pPr>
            <w:r>
              <w:rPr>
                <w:rFonts w:ascii="仿宋" w:hAnsi="仿宋" w:cs="仿宋" w:eastAsia="仿宋"/>
                <w:sz w:val="24"/>
                <w:b/>
              </w:rPr>
              <w:t>一、项目概况</w:t>
            </w:r>
          </w:p>
          <w:p>
            <w:pPr>
              <w:pStyle w:val="null3"/>
              <w:ind w:firstLine="480"/>
            </w:pPr>
            <w:r>
              <w:rPr>
                <w:rFonts w:ascii="仿宋" w:hAnsi="仿宋" w:cs="仿宋" w:eastAsia="仿宋"/>
                <w:sz w:val="24"/>
              </w:rPr>
              <w:t>高陵区应急管理局局机关外立面改造及修缮、道路修缮及黑化、屋面维修、景观绿化、水电安装工程箱式变压器安装等；</w:t>
            </w:r>
          </w:p>
          <w:p>
            <w:pPr>
              <w:pStyle w:val="null3"/>
              <w:ind w:firstLine="480"/>
            </w:pPr>
            <w:r>
              <w:rPr>
                <w:rFonts w:ascii="仿宋" w:hAnsi="仿宋" w:cs="仿宋" w:eastAsia="仿宋"/>
                <w:sz w:val="24"/>
                <w:b/>
              </w:rPr>
              <w:t>二、工程内容和施工地点、计划工期、缺陷责任期、质量保修期</w:t>
            </w:r>
          </w:p>
          <w:p>
            <w:pPr>
              <w:pStyle w:val="null3"/>
              <w:ind w:firstLine="480"/>
            </w:pPr>
            <w:r>
              <w:rPr>
                <w:rFonts w:ascii="仿宋" w:hAnsi="仿宋" w:cs="仿宋" w:eastAsia="仿宋"/>
                <w:sz w:val="24"/>
              </w:rPr>
              <w:t>1.工程内容：高陵区应急管理局局机关外立面改造及修缮、道路修缮及黑化、屋面维修、景观绿化、水电安装工程箱式变压器安装等；</w:t>
            </w:r>
          </w:p>
          <w:p>
            <w:pPr>
              <w:pStyle w:val="null3"/>
              <w:ind w:firstLine="480"/>
            </w:pPr>
            <w:r>
              <w:rPr>
                <w:rFonts w:ascii="仿宋" w:hAnsi="仿宋" w:cs="仿宋" w:eastAsia="仿宋"/>
                <w:sz w:val="24"/>
              </w:rPr>
              <w:t>2.工程地点：采购人指定地点</w:t>
            </w:r>
          </w:p>
          <w:p>
            <w:pPr>
              <w:pStyle w:val="null3"/>
              <w:ind w:firstLine="480"/>
            </w:pPr>
            <w:r>
              <w:rPr>
                <w:rFonts w:ascii="仿宋" w:hAnsi="仿宋" w:cs="仿宋" w:eastAsia="仿宋"/>
                <w:sz w:val="24"/>
              </w:rPr>
              <w:t>3.计划工期：自进场之日起90个日历日内竣工。</w:t>
            </w:r>
          </w:p>
          <w:p>
            <w:pPr>
              <w:pStyle w:val="null3"/>
              <w:ind w:firstLine="480"/>
            </w:pPr>
            <w:r>
              <w:rPr>
                <w:rFonts w:ascii="仿宋" w:hAnsi="仿宋" w:cs="仿宋" w:eastAsia="仿宋"/>
                <w:sz w:val="24"/>
              </w:rPr>
              <w:t>4.缺陷责任期：2年</w:t>
            </w:r>
          </w:p>
          <w:p>
            <w:pPr>
              <w:pStyle w:val="null3"/>
              <w:ind w:firstLine="480"/>
            </w:pPr>
            <w:r>
              <w:rPr>
                <w:rFonts w:ascii="仿宋" w:hAnsi="仿宋" w:cs="仿宋" w:eastAsia="仿宋"/>
                <w:sz w:val="24"/>
              </w:rPr>
              <w:t>5.质量保修期：1年</w:t>
            </w:r>
          </w:p>
          <w:p>
            <w:pPr>
              <w:pStyle w:val="null3"/>
              <w:ind w:firstLine="480"/>
            </w:pPr>
            <w:r>
              <w:rPr>
                <w:rFonts w:ascii="仿宋" w:hAnsi="仿宋" w:cs="仿宋" w:eastAsia="仿宋"/>
                <w:sz w:val="24"/>
                <w:b/>
              </w:rPr>
              <w:t>三、工程量清单和计价依据</w:t>
            </w:r>
          </w:p>
          <w:p>
            <w:pPr>
              <w:pStyle w:val="null3"/>
              <w:ind w:firstLine="480"/>
            </w:pPr>
            <w:r>
              <w:rPr>
                <w:rFonts w:ascii="仿宋" w:hAnsi="仿宋" w:cs="仿宋" w:eastAsia="仿宋"/>
                <w:sz w:val="24"/>
              </w:rPr>
              <w:t>（一）计价依据：</w:t>
            </w:r>
          </w:p>
          <w:p>
            <w:pPr>
              <w:pStyle w:val="null3"/>
              <w:ind w:firstLine="480"/>
            </w:pPr>
            <w:r>
              <w:rPr>
                <w:rFonts w:ascii="仿宋" w:hAnsi="仿宋" w:cs="仿宋" w:eastAsia="仿宋"/>
                <w:sz w:val="24"/>
              </w:rPr>
              <w:t>1.</w:t>
            </w:r>
            <w:r>
              <w:rPr>
                <w:rFonts w:ascii="仿宋" w:hAnsi="仿宋" w:cs="仿宋" w:eastAsia="仿宋"/>
                <w:sz w:val="24"/>
              </w:rPr>
              <w:t>高陵区应急管理局局机关外立面改造及修缮项目施工图纸；</w:t>
            </w:r>
          </w:p>
          <w:p>
            <w:pPr>
              <w:pStyle w:val="null3"/>
              <w:ind w:firstLine="480"/>
            </w:pPr>
            <w:r>
              <w:rPr>
                <w:rFonts w:ascii="仿宋" w:hAnsi="仿宋" w:cs="仿宋" w:eastAsia="仿宋"/>
                <w:sz w:val="24"/>
              </w:rPr>
              <w:t>2.</w:t>
            </w:r>
            <w:r>
              <w:rPr>
                <w:rFonts w:ascii="仿宋" w:hAnsi="仿宋" w:cs="仿宋" w:eastAsia="仿宋"/>
                <w:sz w:val="24"/>
              </w:rPr>
              <w:t>与建设工程项目有关的标准、规范、技术资料；</w:t>
            </w:r>
          </w:p>
          <w:p>
            <w:pPr>
              <w:pStyle w:val="null3"/>
              <w:ind w:firstLine="480"/>
            </w:pPr>
            <w:r>
              <w:rPr>
                <w:rFonts w:ascii="仿宋" w:hAnsi="仿宋" w:cs="仿宋" w:eastAsia="仿宋"/>
                <w:sz w:val="24"/>
              </w:rPr>
              <w:t>3.《陕西省建设工程工程量清单计价规则》</w:t>
            </w:r>
            <w:r>
              <w:rPr>
                <w:rFonts w:ascii="仿宋" w:hAnsi="仿宋" w:cs="仿宋" w:eastAsia="仿宋"/>
                <w:sz w:val="24"/>
              </w:rPr>
              <w:t>【</w:t>
            </w:r>
            <w:r>
              <w:rPr>
                <w:rFonts w:ascii="仿宋" w:hAnsi="仿宋" w:cs="仿宋" w:eastAsia="仿宋"/>
                <w:sz w:val="24"/>
              </w:rPr>
              <w:t>2009年</w:t>
            </w:r>
            <w:r>
              <w:rPr>
                <w:rFonts w:ascii="仿宋" w:hAnsi="仿宋" w:cs="仿宋" w:eastAsia="仿宋"/>
                <w:sz w:val="24"/>
              </w:rPr>
              <w:t>】</w:t>
            </w:r>
            <w:r>
              <w:rPr>
                <w:rFonts w:ascii="仿宋" w:hAnsi="仿宋" w:cs="仿宋" w:eastAsia="仿宋"/>
                <w:sz w:val="24"/>
              </w:rPr>
              <w:t>、《陕西省建筑工程消耗量定额》</w:t>
            </w:r>
            <w:r>
              <w:rPr>
                <w:rFonts w:ascii="仿宋" w:hAnsi="仿宋" w:cs="仿宋" w:eastAsia="仿宋"/>
                <w:sz w:val="24"/>
              </w:rPr>
              <w:t>【</w:t>
            </w:r>
            <w:r>
              <w:rPr>
                <w:rFonts w:ascii="仿宋" w:hAnsi="仿宋" w:cs="仿宋" w:eastAsia="仿宋"/>
                <w:sz w:val="24"/>
              </w:rPr>
              <w:t>2004</w:t>
            </w:r>
            <w:r>
              <w:rPr>
                <w:rFonts w:ascii="仿宋" w:hAnsi="仿宋" w:cs="仿宋" w:eastAsia="仿宋"/>
                <w:sz w:val="24"/>
              </w:rPr>
              <w:t>】、《</w:t>
            </w:r>
            <w:r>
              <w:rPr>
                <w:rFonts w:ascii="仿宋" w:hAnsi="仿宋" w:cs="仿宋" w:eastAsia="仿宋"/>
                <w:sz w:val="24"/>
              </w:rPr>
              <w:t>全统修缮定额土建工程陕西省价目表</w:t>
            </w:r>
            <w:r>
              <w:rPr>
                <w:rFonts w:ascii="仿宋" w:hAnsi="仿宋" w:cs="仿宋" w:eastAsia="仿宋"/>
                <w:sz w:val="24"/>
              </w:rPr>
              <w:t>》【</w:t>
            </w:r>
            <w:r>
              <w:rPr>
                <w:rFonts w:ascii="仿宋" w:hAnsi="仿宋" w:cs="仿宋" w:eastAsia="仿宋"/>
                <w:sz w:val="24"/>
              </w:rPr>
              <w:t>2001</w:t>
            </w:r>
            <w:r>
              <w:rPr>
                <w:rFonts w:ascii="仿宋" w:hAnsi="仿宋" w:cs="仿宋" w:eastAsia="仿宋"/>
                <w:sz w:val="24"/>
              </w:rPr>
              <w:t>】</w:t>
            </w:r>
            <w:r>
              <w:rPr>
                <w:rFonts w:ascii="仿宋" w:hAnsi="仿宋" w:cs="仿宋" w:eastAsia="仿宋"/>
                <w:sz w:val="24"/>
              </w:rPr>
              <w:t>及定额相配套使用的《陕西省建筑装饰工程价目表》</w:t>
            </w:r>
            <w:r>
              <w:rPr>
                <w:rFonts w:ascii="仿宋" w:hAnsi="仿宋" w:cs="仿宋" w:eastAsia="仿宋"/>
                <w:sz w:val="24"/>
              </w:rPr>
              <w:t>【</w:t>
            </w:r>
            <w:r>
              <w:rPr>
                <w:rFonts w:ascii="仿宋" w:hAnsi="仿宋" w:cs="仿宋" w:eastAsia="仿宋"/>
                <w:sz w:val="24"/>
              </w:rPr>
              <w:t>2009</w:t>
            </w:r>
            <w:r>
              <w:rPr>
                <w:rFonts w:ascii="仿宋" w:hAnsi="仿宋" w:cs="仿宋" w:eastAsia="仿宋"/>
                <w:sz w:val="24"/>
              </w:rPr>
              <w:t>】、</w:t>
            </w:r>
            <w:r>
              <w:rPr>
                <w:rFonts w:ascii="仿宋" w:hAnsi="仿宋" w:cs="仿宋" w:eastAsia="仿宋"/>
                <w:sz w:val="24"/>
              </w:rPr>
              <w:t>《陕西省园林绿化工程价目表》</w:t>
            </w:r>
            <w:r>
              <w:rPr>
                <w:rFonts w:ascii="仿宋" w:hAnsi="仿宋" w:cs="仿宋" w:eastAsia="仿宋"/>
                <w:sz w:val="24"/>
              </w:rPr>
              <w:t>【</w:t>
            </w:r>
            <w:r>
              <w:rPr>
                <w:rFonts w:ascii="仿宋" w:hAnsi="仿宋" w:cs="仿宋" w:eastAsia="仿宋"/>
                <w:sz w:val="24"/>
              </w:rPr>
              <w:t>2009</w:t>
            </w:r>
            <w:r>
              <w:rPr>
                <w:rFonts w:ascii="仿宋" w:hAnsi="仿宋" w:cs="仿宋" w:eastAsia="仿宋"/>
                <w:sz w:val="24"/>
              </w:rPr>
              <w:t>】、</w:t>
            </w:r>
            <w:r>
              <w:rPr>
                <w:rFonts w:ascii="仿宋" w:hAnsi="仿宋" w:cs="仿宋" w:eastAsia="仿宋"/>
                <w:sz w:val="24"/>
              </w:rPr>
              <w:t>《陕西省市政工程价目表》</w:t>
            </w:r>
            <w:r>
              <w:rPr>
                <w:rFonts w:ascii="仿宋" w:hAnsi="仿宋" w:cs="仿宋" w:eastAsia="仿宋"/>
                <w:sz w:val="24"/>
              </w:rPr>
              <w:t>【</w:t>
            </w:r>
            <w:r>
              <w:rPr>
                <w:rFonts w:ascii="仿宋" w:hAnsi="仿宋" w:cs="仿宋" w:eastAsia="仿宋"/>
                <w:sz w:val="24"/>
              </w:rPr>
              <w:t>2009</w:t>
            </w:r>
            <w:r>
              <w:rPr>
                <w:rFonts w:ascii="仿宋" w:hAnsi="仿宋" w:cs="仿宋" w:eastAsia="仿宋"/>
                <w:sz w:val="24"/>
              </w:rPr>
              <w:t>】、</w:t>
            </w:r>
            <w:r>
              <w:rPr>
                <w:rFonts w:ascii="仿宋" w:hAnsi="仿宋" w:cs="仿宋" w:eastAsia="仿宋"/>
                <w:sz w:val="24"/>
              </w:rPr>
              <w:t>《陕西省安装工程价目表》</w:t>
            </w:r>
            <w:r>
              <w:rPr>
                <w:rFonts w:ascii="仿宋" w:hAnsi="仿宋" w:cs="仿宋" w:eastAsia="仿宋"/>
                <w:sz w:val="24"/>
              </w:rPr>
              <w:t>【</w:t>
            </w:r>
            <w:r>
              <w:rPr>
                <w:rFonts w:ascii="仿宋" w:hAnsi="仿宋" w:cs="仿宋" w:eastAsia="仿宋"/>
                <w:sz w:val="24"/>
              </w:rPr>
              <w:t>2009</w:t>
            </w:r>
            <w:r>
              <w:rPr>
                <w:rFonts w:ascii="仿宋" w:hAnsi="仿宋" w:cs="仿宋" w:eastAsia="仿宋"/>
                <w:sz w:val="24"/>
              </w:rPr>
              <w:t>】</w:t>
            </w:r>
            <w:r>
              <w:rPr>
                <w:rFonts w:ascii="仿宋" w:hAnsi="仿宋" w:cs="仿宋" w:eastAsia="仿宋"/>
                <w:sz w:val="24"/>
              </w:rPr>
              <w:t>及定额相配套使用的《陕西省园林绿化工程消耗量定额》</w:t>
            </w:r>
            <w:r>
              <w:rPr>
                <w:rFonts w:ascii="仿宋" w:hAnsi="仿宋" w:cs="仿宋" w:eastAsia="仿宋"/>
                <w:sz w:val="24"/>
              </w:rPr>
              <w:t>【</w:t>
            </w:r>
            <w:r>
              <w:rPr>
                <w:rFonts w:ascii="仿宋" w:hAnsi="仿宋" w:cs="仿宋" w:eastAsia="仿宋"/>
                <w:sz w:val="24"/>
              </w:rPr>
              <w:t>2004</w:t>
            </w:r>
            <w:r>
              <w:rPr>
                <w:rFonts w:ascii="仿宋" w:hAnsi="仿宋" w:cs="仿宋" w:eastAsia="仿宋"/>
                <w:sz w:val="24"/>
              </w:rPr>
              <w:t>】、</w:t>
            </w:r>
            <w:r>
              <w:rPr>
                <w:rFonts w:ascii="仿宋" w:hAnsi="仿宋" w:cs="仿宋" w:eastAsia="仿宋"/>
                <w:sz w:val="24"/>
              </w:rPr>
              <w:t>《陕西省市政工程消耗量定额》</w:t>
            </w:r>
            <w:r>
              <w:rPr>
                <w:rFonts w:ascii="仿宋" w:hAnsi="仿宋" w:cs="仿宋" w:eastAsia="仿宋"/>
                <w:sz w:val="24"/>
              </w:rPr>
              <w:t>【</w:t>
            </w:r>
            <w:r>
              <w:rPr>
                <w:rFonts w:ascii="仿宋" w:hAnsi="仿宋" w:cs="仿宋" w:eastAsia="仿宋"/>
                <w:sz w:val="24"/>
              </w:rPr>
              <w:t>2004</w:t>
            </w:r>
            <w:r>
              <w:rPr>
                <w:rFonts w:ascii="仿宋" w:hAnsi="仿宋" w:cs="仿宋" w:eastAsia="仿宋"/>
                <w:sz w:val="24"/>
              </w:rPr>
              <w:t>】、</w:t>
            </w:r>
            <w:r>
              <w:rPr>
                <w:rFonts w:ascii="仿宋" w:hAnsi="仿宋" w:cs="仿宋" w:eastAsia="仿宋"/>
                <w:sz w:val="24"/>
              </w:rPr>
              <w:t>《陕西省安装工程消耗量定额》</w:t>
            </w:r>
            <w:r>
              <w:rPr>
                <w:rFonts w:ascii="仿宋" w:hAnsi="仿宋" w:cs="仿宋" w:eastAsia="仿宋"/>
                <w:sz w:val="24"/>
              </w:rPr>
              <w:t>【</w:t>
            </w:r>
            <w:r>
              <w:rPr>
                <w:rFonts w:ascii="仿宋" w:hAnsi="仿宋" w:cs="仿宋" w:eastAsia="仿宋"/>
                <w:sz w:val="24"/>
              </w:rPr>
              <w:t>2004</w:t>
            </w:r>
            <w:r>
              <w:rPr>
                <w:rFonts w:ascii="仿宋" w:hAnsi="仿宋" w:cs="仿宋" w:eastAsia="仿宋"/>
                <w:sz w:val="24"/>
              </w:rPr>
              <w:t>】、</w:t>
            </w:r>
            <w:r>
              <w:rPr>
                <w:rFonts w:ascii="仿宋" w:hAnsi="仿宋" w:cs="仿宋" w:eastAsia="仿宋"/>
                <w:sz w:val="24"/>
              </w:rPr>
              <w:t>《陕西省建设工程工程量清单计价费率》</w:t>
            </w:r>
            <w:r>
              <w:rPr>
                <w:rFonts w:ascii="仿宋" w:hAnsi="仿宋" w:cs="仿宋" w:eastAsia="仿宋"/>
                <w:sz w:val="24"/>
              </w:rPr>
              <w:t>【</w:t>
            </w:r>
            <w:r>
              <w:rPr>
                <w:rFonts w:ascii="仿宋" w:hAnsi="仿宋" w:cs="仿宋" w:eastAsia="仿宋"/>
                <w:sz w:val="24"/>
              </w:rPr>
              <w:t>2009</w:t>
            </w:r>
            <w:r>
              <w:rPr>
                <w:rFonts w:ascii="仿宋" w:hAnsi="仿宋" w:cs="仿宋" w:eastAsia="仿宋"/>
                <w:sz w:val="24"/>
              </w:rPr>
              <w:t>】</w:t>
            </w:r>
            <w:r>
              <w:rPr>
                <w:rFonts w:ascii="仿宋" w:hAnsi="仿宋" w:cs="仿宋" w:eastAsia="仿宋"/>
                <w:sz w:val="24"/>
              </w:rPr>
              <w:t>及其他相关的计价依据和办法；</w:t>
            </w:r>
          </w:p>
          <w:p>
            <w:pPr>
              <w:pStyle w:val="null3"/>
              <w:ind w:firstLine="480"/>
            </w:pPr>
            <w:r>
              <w:rPr>
                <w:rFonts w:ascii="仿宋" w:hAnsi="仿宋" w:cs="仿宋" w:eastAsia="仿宋"/>
                <w:sz w:val="24"/>
              </w:rPr>
              <w:t>4.</w:t>
            </w:r>
            <w:r>
              <w:rPr>
                <w:rFonts w:ascii="仿宋" w:hAnsi="仿宋" w:cs="仿宋" w:eastAsia="仿宋"/>
                <w:sz w:val="24"/>
              </w:rPr>
              <w:t>陕建发【</w:t>
            </w:r>
            <w:r>
              <w:rPr>
                <w:rFonts w:ascii="仿宋" w:hAnsi="仿宋" w:cs="仿宋" w:eastAsia="仿宋"/>
                <w:sz w:val="24"/>
              </w:rPr>
              <w:t>2017】270号《关于增加建设工程扬尘治理专项措施费调整的通知》；</w:t>
            </w:r>
          </w:p>
          <w:p>
            <w:pPr>
              <w:pStyle w:val="null3"/>
              <w:ind w:firstLine="480"/>
            </w:pPr>
            <w:r>
              <w:rPr>
                <w:rFonts w:ascii="仿宋" w:hAnsi="仿宋" w:cs="仿宋" w:eastAsia="仿宋"/>
                <w:sz w:val="24"/>
              </w:rPr>
              <w:t>5.</w:t>
            </w:r>
            <w:r>
              <w:rPr>
                <w:rFonts w:ascii="仿宋" w:hAnsi="仿宋" w:cs="仿宋" w:eastAsia="仿宋"/>
                <w:sz w:val="24"/>
              </w:rPr>
              <w:t>陕建发【</w:t>
            </w:r>
            <w:r>
              <w:rPr>
                <w:rFonts w:ascii="仿宋" w:hAnsi="仿宋" w:cs="仿宋" w:eastAsia="仿宋"/>
                <w:sz w:val="24"/>
              </w:rPr>
              <w:t>2019】45号文</w:t>
            </w:r>
            <w:r>
              <w:rPr>
                <w:rFonts w:ascii="仿宋" w:hAnsi="仿宋" w:cs="仿宋" w:eastAsia="仿宋"/>
                <w:sz w:val="24"/>
              </w:rPr>
              <w:t>《关于调整我省建设工程计价依据的通知》</w:t>
            </w:r>
            <w:r>
              <w:rPr>
                <w:rFonts w:ascii="仿宋" w:hAnsi="仿宋" w:cs="仿宋" w:eastAsia="仿宋"/>
                <w:sz w:val="24"/>
              </w:rPr>
              <w:t>；</w:t>
            </w:r>
          </w:p>
          <w:p>
            <w:pPr>
              <w:pStyle w:val="null3"/>
              <w:ind w:firstLine="480"/>
            </w:pPr>
            <w:r>
              <w:rPr>
                <w:rFonts w:ascii="仿宋" w:hAnsi="仿宋" w:cs="仿宋" w:eastAsia="仿宋"/>
                <w:sz w:val="24"/>
              </w:rPr>
              <w:t>6.</w:t>
            </w:r>
            <w:r>
              <w:rPr>
                <w:rFonts w:ascii="仿宋" w:hAnsi="仿宋" w:cs="仿宋" w:eastAsia="仿宋"/>
                <w:sz w:val="24"/>
              </w:rPr>
              <w:t>陕建发【</w:t>
            </w:r>
            <w:r>
              <w:rPr>
                <w:rFonts w:ascii="仿宋" w:hAnsi="仿宋" w:cs="仿宋" w:eastAsia="仿宋"/>
                <w:sz w:val="24"/>
              </w:rPr>
              <w:t>2019】1246号文《关于发布我省落实建筑工人实名制管理计价依据的通知》；</w:t>
            </w:r>
          </w:p>
          <w:p>
            <w:pPr>
              <w:pStyle w:val="null3"/>
              <w:ind w:firstLine="480"/>
            </w:pPr>
            <w:r>
              <w:rPr>
                <w:rFonts w:ascii="仿宋" w:hAnsi="仿宋" w:cs="仿宋" w:eastAsia="仿宋"/>
                <w:sz w:val="24"/>
              </w:rPr>
              <w:t>7.</w:t>
            </w:r>
            <w:r>
              <w:rPr>
                <w:rFonts w:ascii="仿宋" w:hAnsi="仿宋" w:cs="仿宋" w:eastAsia="仿宋"/>
                <w:sz w:val="24"/>
              </w:rPr>
              <w:t>陕建发【</w:t>
            </w:r>
            <w:r>
              <w:rPr>
                <w:rFonts w:ascii="仿宋" w:hAnsi="仿宋" w:cs="仿宋" w:eastAsia="仿宋"/>
                <w:sz w:val="24"/>
              </w:rPr>
              <w:t>2020】1097号文《关于建筑施工安全生产责任保险费用计价的通知》；</w:t>
            </w:r>
          </w:p>
          <w:p>
            <w:pPr>
              <w:pStyle w:val="null3"/>
              <w:ind w:firstLine="480"/>
            </w:pPr>
            <w:r>
              <w:rPr>
                <w:rFonts w:ascii="仿宋" w:hAnsi="仿宋" w:cs="仿宋" w:eastAsia="仿宋"/>
                <w:sz w:val="24"/>
              </w:rPr>
              <w:t>8.陕建发【2021】1021号文《关于全省统一停止收缴建筑业劳保费用的通知》；</w:t>
            </w:r>
          </w:p>
          <w:p>
            <w:pPr>
              <w:pStyle w:val="null3"/>
              <w:ind w:firstLine="480"/>
            </w:pPr>
            <w:r>
              <w:rPr>
                <w:rFonts w:ascii="仿宋" w:hAnsi="仿宋" w:cs="仿宋" w:eastAsia="仿宋"/>
                <w:sz w:val="24"/>
              </w:rPr>
              <w:t>9.</w:t>
            </w:r>
            <w:r>
              <w:rPr>
                <w:rFonts w:ascii="仿宋" w:hAnsi="仿宋" w:cs="仿宋" w:eastAsia="仿宋"/>
                <w:sz w:val="24"/>
              </w:rPr>
              <w:t>陕建发【</w:t>
            </w:r>
            <w:r>
              <w:rPr>
                <w:rFonts w:ascii="仿宋" w:hAnsi="仿宋" w:cs="仿宋" w:eastAsia="仿宋"/>
                <w:sz w:val="24"/>
              </w:rPr>
              <w:t>2021</w:t>
            </w:r>
            <w:r>
              <w:rPr>
                <w:rFonts w:ascii="仿宋" w:hAnsi="仿宋" w:cs="仿宋" w:eastAsia="仿宋"/>
                <w:sz w:val="24"/>
              </w:rPr>
              <w:t>】</w:t>
            </w:r>
            <w:r>
              <w:rPr>
                <w:rFonts w:ascii="仿宋" w:hAnsi="仿宋" w:cs="仿宋" w:eastAsia="仿宋"/>
                <w:sz w:val="24"/>
              </w:rPr>
              <w:t>1097</w:t>
            </w:r>
            <w:r>
              <w:rPr>
                <w:rFonts w:ascii="仿宋" w:hAnsi="仿宋" w:cs="仿宋" w:eastAsia="仿宋"/>
                <w:sz w:val="24"/>
              </w:rPr>
              <w:t>号《关于调整房屋建筑和市政基础设施工程工程量清单计价综合人工单价的通知》；</w:t>
            </w:r>
          </w:p>
          <w:p>
            <w:pPr>
              <w:pStyle w:val="null3"/>
              <w:ind w:firstLine="480"/>
            </w:pPr>
            <w:r>
              <w:rPr>
                <w:rFonts w:ascii="仿宋" w:hAnsi="仿宋" w:cs="仿宋" w:eastAsia="仿宋"/>
                <w:sz w:val="24"/>
              </w:rPr>
              <w:t>10.</w:t>
            </w:r>
            <w:r>
              <w:rPr>
                <w:rFonts w:ascii="仿宋" w:hAnsi="仿宋" w:cs="仿宋" w:eastAsia="仿宋"/>
                <w:sz w:val="24"/>
              </w:rPr>
              <w:t>材料价格参考《</w:t>
            </w:r>
            <w:r>
              <w:rPr>
                <w:rFonts w:ascii="仿宋" w:hAnsi="仿宋" w:cs="仿宋" w:eastAsia="仿宋"/>
                <w:sz w:val="24"/>
              </w:rPr>
              <w:t>高陵县</w:t>
            </w:r>
            <w:r>
              <w:rPr>
                <w:rFonts w:ascii="仿宋" w:hAnsi="仿宋" w:cs="仿宋" w:eastAsia="仿宋"/>
                <w:sz w:val="24"/>
              </w:rPr>
              <w:t>工程造价信息》</w:t>
            </w:r>
            <w:r>
              <w:rPr>
                <w:rFonts w:ascii="仿宋" w:hAnsi="仿宋" w:cs="仿宋" w:eastAsia="仿宋"/>
                <w:sz w:val="24"/>
              </w:rPr>
              <w:t>2023年6月</w:t>
            </w:r>
            <w:r>
              <w:rPr>
                <w:rFonts w:ascii="仿宋" w:hAnsi="仿宋" w:cs="仿宋" w:eastAsia="仿宋"/>
                <w:sz w:val="24"/>
              </w:rPr>
              <w:t>并结合市场价</w:t>
            </w:r>
            <w:r>
              <w:rPr>
                <w:rFonts w:ascii="仿宋" w:hAnsi="仿宋" w:cs="仿宋" w:eastAsia="仿宋"/>
                <w:sz w:val="24"/>
              </w:rPr>
              <w:t>；</w:t>
            </w:r>
          </w:p>
          <w:p>
            <w:pPr>
              <w:pStyle w:val="null3"/>
              <w:ind w:firstLine="480"/>
            </w:pPr>
            <w:r>
              <w:rPr>
                <w:rFonts w:ascii="仿宋" w:hAnsi="仿宋" w:cs="仿宋" w:eastAsia="仿宋"/>
                <w:sz w:val="24"/>
              </w:rPr>
              <w:t>11.本工程计价软件采用广联达计价软件GBQ6.0陕西地区6.4100.23.118</w:t>
            </w:r>
            <w:r>
              <w:rPr>
                <w:rFonts w:ascii="仿宋" w:hAnsi="仿宋" w:cs="仿宋" w:eastAsia="仿宋"/>
                <w:sz w:val="24"/>
              </w:rPr>
              <w:t>。</w:t>
            </w:r>
          </w:p>
          <w:p>
            <w:pPr>
              <w:pStyle w:val="null3"/>
            </w:pPr>
            <w:r>
              <w:rPr>
                <w:rFonts w:ascii="仿宋" w:hAnsi="仿宋" w:cs="仿宋" w:eastAsia="仿宋"/>
                <w:sz w:val="24"/>
              </w:rPr>
              <w:t>（二）工程量清单</w:t>
            </w:r>
            <w:r>
              <w:rPr>
                <w:rFonts w:ascii="仿宋" w:hAnsi="仿宋" w:cs="仿宋" w:eastAsia="仿宋"/>
                <w:sz w:val="24"/>
              </w:rPr>
              <w:t>（</w:t>
            </w:r>
            <w:r>
              <w:rPr>
                <w:rFonts w:ascii="仿宋" w:hAnsi="仿宋" w:cs="仿宋" w:eastAsia="仿宋"/>
                <w:sz w:val="24"/>
              </w:rPr>
              <w:t>另附</w:t>
            </w:r>
            <w:r>
              <w:rPr>
                <w:rFonts w:ascii="仿宋" w:hAnsi="仿宋" w:cs="仿宋" w:eastAsia="仿宋"/>
                <w:sz w:val="24"/>
              </w:rPr>
              <w:t>）</w:t>
            </w:r>
          </w:p>
          <w:p>
            <w:pPr>
              <w:pStyle w:val="null3"/>
            </w:pPr>
            <w:r>
              <w:rPr>
                <w:rFonts w:ascii="楷体" w:hAnsi="楷体" w:cs="楷体" w:eastAsia="楷体"/>
                <w:sz w:val="24"/>
                <w:b/>
              </w:rPr>
              <w:t>四</w:t>
            </w:r>
            <w:r>
              <w:rPr>
                <w:rFonts w:ascii="仿宋" w:hAnsi="仿宋" w:cs="仿宋" w:eastAsia="仿宋"/>
                <w:sz w:val="24"/>
                <w:b/>
              </w:rPr>
              <w:t>、施工要求</w:t>
            </w:r>
          </w:p>
          <w:p>
            <w:pPr>
              <w:pStyle w:val="null3"/>
              <w:ind w:firstLine="480"/>
            </w:pPr>
            <w:r>
              <w:rPr>
                <w:rFonts w:ascii="仿宋" w:hAnsi="仿宋" w:cs="仿宋" w:eastAsia="仿宋"/>
                <w:sz w:val="24"/>
              </w:rPr>
              <w:t>在施工期间，中标供应商必须注意院内人员安全，加强安全措施，并对施工人员进行安全教育。施工人员必须持证上岗。因采购人工作的特殊性，要求中标供应商在施工中做到封闭性施工。</w:t>
            </w:r>
          </w:p>
          <w:p>
            <w:pPr>
              <w:pStyle w:val="null3"/>
            </w:pPr>
            <w:r>
              <w:rPr>
                <w:rFonts w:ascii="仿宋" w:hAnsi="仿宋" w:cs="仿宋" w:eastAsia="仿宋"/>
                <w:sz w:val="24"/>
                <w:b/>
              </w:rPr>
              <w:t>五、商务要求</w:t>
            </w:r>
          </w:p>
          <w:p>
            <w:pPr>
              <w:pStyle w:val="null3"/>
              <w:ind w:firstLine="480"/>
              <w:jc w:val="both"/>
            </w:pPr>
            <w:r>
              <w:rPr>
                <w:rFonts w:ascii="仿宋" w:hAnsi="仿宋" w:cs="仿宋" w:eastAsia="仿宋"/>
                <w:sz w:val="24"/>
              </w:rPr>
              <w:t>付款方式：施工单位在每月25日前按照其工程形象进度报月进度结算，经监理工程师签字确认后代建人按已完工程量80%签发工程进度款划拨单，经代建人向发包人（建设单位）提出付款申请，并提交相关付款证明材料及付款申请表（包括合同及支付报表、竣工验收报告、审计书等），建设单位按照《西安市高陵区政府投资项目资金管理办法》要求，向区财政部门申请拨款至代建人，后由代建人支付工程进度款。在支付工程进度款累计达到合同价款总额的80%时不再支付工程进度款，待工程竣工验收合格，办理完资料移交手续，审计结束后累计付至审计总价的97%，预留3%的保修金，保修期满后付清。每次支付工程款时，被支付人必须向支付人提供满足支付要求的相应发票。</w:t>
            </w:r>
          </w:p>
          <w:p>
            <w:pPr>
              <w:pStyle w:val="null3"/>
            </w:pPr>
            <w:r>
              <w:rPr>
                <w:rFonts w:ascii="仿宋" w:hAnsi="仿宋" w:cs="仿宋" w:eastAsia="仿宋"/>
                <w:sz w:val="24"/>
                <w:b/>
              </w:rPr>
              <w:t>六、其他</w:t>
            </w:r>
          </w:p>
          <w:p>
            <w:pPr>
              <w:pStyle w:val="null3"/>
              <w:ind w:firstLine="480"/>
              <w:jc w:val="both"/>
            </w:pPr>
            <w:r>
              <w:rPr>
                <w:rFonts w:ascii="仿宋" w:hAnsi="仿宋" w:cs="仿宋" w:eastAsia="仿宋"/>
                <w:sz w:val="24"/>
              </w:rPr>
              <w:t>质量验收标准：达到国家及行业现行技术规范标准，符合国家及行业验收合格标准</w:t>
            </w:r>
            <w:r>
              <w:rPr>
                <w:rFonts w:ascii="仿宋" w:hAnsi="仿宋" w:cs="仿宋" w:eastAsia="仿宋"/>
                <w:sz w:val="28"/>
              </w:rPr>
              <w:t>；</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达到国家及行业现行技术规范标准，符合国家及行业验收合格标准</w:t>
      </w:r>
    </w:p>
    <w:p>
      <w:pPr>
        <w:pStyle w:val="null3"/>
        <w:ind w:firstLine="480"/>
      </w:pPr>
      <w:r>
        <w:rPr/>
        <w:t>三、针对本项目的其他技术服务要求：</w:t>
      </w:r>
    </w:p>
    <w:p>
      <w:pPr>
        <w:pStyle w:val="null3"/>
      </w:pPr>
      <w:r>
        <w:rPr/>
        <w:t>/</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为顺利推进政府采购电子化交易平台试点应用工作，供应商需要在线提交所有通过电子化交易平台实施的政府采购项目的响应文件，同时，在开标截止时间前需线下提交纸质响应文件3份（一正两副），纸质响应文件需胶装，密封递交。递交地址：陕西省西安市经济技术开发区未央路303号保利中达广场2207室会议室。 2、付款方式：施工单位在每月25日前按照其工程形象进度报月进度结算，经监理工程师签字确认后代建人按已完工程量80%签发工程进度款划拨单，经代建人向发包人（建设单位）提出付款申请，并提交相关付款证明材料及付款申请表（包括合同及支付报表、竣工验收报告、审计书等），建设单位按照《西安市高陵区政府投资项目资金管理办法》要求，向区财政部门申请拨款至代建人，后由代建人支付工程进度款。在支付工程进度款累计达到合同价款总额的80%时不再支付工程进度款，待工程竣工验收合格，办理完资料移交手续，审计结束后累计付至审计总价的97%，预留3%的保修金，保修期满后付清。每次支付工程款时，被支付人必须向支付人提供满足支付要求的相应发票。（付款方式以本条为准）。 3、本项目代建人：西安市高陵区城市建设开发有限公司，地址：西安市高陵区耿镇街道办西乡路1号，联系人：赵工，电话：029-86096789。</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能力的法人或其他组织或自然人，法人提供有效的营业执照，事业单位提供事业单位法人证书，其他组织提供相关证明材料、自然人应提供身份证；(2)供应商提供2023年度经审计的财务报告(成立时间至提交投标文件截止时间不足一年的可提供成立后任意时段的资产负债表), 或其开标前三个月内银行出具的资信证明，或财政部门认可的政府采购专业担保机构出具的投标担保函；(3)具有履行合同所必需的设备和专业技术能力的书面声明；(4)提交响应文件递交截止时间前6个月内至少一个月的纳税证明或完税证明(增值税、营业税、企业所得税至少提供一种)，纳税证明或完税证明上应有代收机构或税务机关的公章或业务专用章，(依法免税的供应商应提供相应文件证明)；(5)社会保障资金缴纳证明：提供响应文件递交截止时间前6个月内已缴存的至少一个月的社会保障资金缴存单据或社保机构开具的社会保险参保缴费情况证明，依法不需要缴纳社会保障资金的单位应提供相关证明材料；(6)提供参加政府采购活动前3年内在经营活动中没有重大违法记录的书面声明；</w:t>
            </w:r>
          </w:p>
        </w:tc>
        <w:tc>
          <w:tcPr>
            <w:tcW w:type="dxa" w:w="1661"/>
          </w:tcPr>
          <w:p>
            <w:pPr>
              <w:pStyle w:val="null3"/>
            </w:pPr>
            <w:r>
              <w:rPr/>
              <w:t>资格证明文件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提供2023年度经审计的财务报告(成立时间至提交投标文件截止时间不足一年的可提供成立后任意时段的资产负债表), 或其开标前三个月内银行出具的资信证明，或财政部门认可的政府采购专业担保机构出具的投标担保函；</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供应商资质</w:t>
            </w:r>
          </w:p>
        </w:tc>
        <w:tc>
          <w:tcPr>
            <w:tcW w:type="dxa" w:w="3322"/>
          </w:tcPr>
          <w:p>
            <w:pPr>
              <w:pStyle w:val="null3"/>
            </w:pPr>
            <w:r>
              <w:rPr/>
              <w:t>具备有效的建筑工程施工总承包三级及以上资质或建筑装修装饰工程专业承包二级及以上资质，且具备合格有效的安全生产许可证；</w:t>
            </w:r>
          </w:p>
        </w:tc>
        <w:tc>
          <w:tcPr>
            <w:tcW w:type="dxa" w:w="1661"/>
          </w:tcPr>
          <w:p>
            <w:pPr>
              <w:pStyle w:val="null3"/>
            </w:pPr>
            <w:r>
              <w:rPr/>
              <w:t>资格证明文件</w:t>
            </w:r>
          </w:p>
        </w:tc>
      </w:tr>
      <w:tr>
        <w:tc>
          <w:tcPr>
            <w:tcW w:type="dxa" w:w="831"/>
          </w:tcPr>
          <w:p>
            <w:pPr>
              <w:pStyle w:val="null3"/>
            </w:pPr>
            <w:r>
              <w:rPr/>
              <w:t>2</w:t>
            </w:r>
          </w:p>
        </w:tc>
        <w:tc>
          <w:tcPr>
            <w:tcW w:type="dxa" w:w="2492"/>
          </w:tcPr>
          <w:p>
            <w:pPr>
              <w:pStyle w:val="null3"/>
            </w:pPr>
            <w:r>
              <w:rPr/>
              <w:t>项目经理</w:t>
            </w:r>
          </w:p>
        </w:tc>
        <w:tc>
          <w:tcPr>
            <w:tcW w:type="dxa" w:w="3322"/>
          </w:tcPr>
          <w:p>
            <w:pPr>
              <w:pStyle w:val="null3"/>
            </w:pPr>
            <w:r>
              <w:rPr/>
              <w:t>拟派项目经理具备具备建筑工程二级及以上注册建造师执业资格, 具有有效的安全生产考核合格证书，在本单位注册且未担任其他在建工程项目经理；</w:t>
            </w:r>
          </w:p>
        </w:tc>
        <w:tc>
          <w:tcPr>
            <w:tcW w:type="dxa" w:w="1661"/>
          </w:tcPr>
          <w:p>
            <w:pPr>
              <w:pStyle w:val="null3"/>
            </w:pPr>
            <w:r>
              <w:rPr/>
              <w:t>资格证明文件</w:t>
            </w:r>
          </w:p>
        </w:tc>
      </w:tr>
      <w:tr>
        <w:tc>
          <w:tcPr>
            <w:tcW w:type="dxa" w:w="831"/>
          </w:tcPr>
          <w:p>
            <w:pPr>
              <w:pStyle w:val="null3"/>
            </w:pPr>
            <w:r>
              <w:rPr/>
              <w:t>3</w:t>
            </w:r>
          </w:p>
        </w:tc>
        <w:tc>
          <w:tcPr>
            <w:tcW w:type="dxa" w:w="2492"/>
          </w:tcPr>
          <w:p>
            <w:pPr>
              <w:pStyle w:val="null3"/>
            </w:pPr>
            <w:r>
              <w:rPr/>
              <w:t>供应商及拟派项目经理信息备案</w:t>
            </w:r>
          </w:p>
        </w:tc>
        <w:tc>
          <w:tcPr>
            <w:tcW w:type="dxa" w:w="3322"/>
          </w:tcPr>
          <w:p>
            <w:pPr>
              <w:pStyle w:val="null3"/>
            </w:pPr>
            <w:r>
              <w:rPr/>
              <w:t>供应商及拟派项目经理信息备案：供应商及拟派项目经理须在“ 陕西省建筑市场监管与诚信信息一体化平台”备案且可查询到基本信息；</w:t>
            </w:r>
          </w:p>
        </w:tc>
        <w:tc>
          <w:tcPr>
            <w:tcW w:type="dxa" w:w="1661"/>
          </w:tcPr>
          <w:p>
            <w:pPr>
              <w:pStyle w:val="null3"/>
            </w:pPr>
            <w:r>
              <w:rPr/>
              <w:t>资格证明文件</w:t>
            </w:r>
          </w:p>
        </w:tc>
      </w:tr>
      <w:tr>
        <w:tc>
          <w:tcPr>
            <w:tcW w:type="dxa" w:w="831"/>
          </w:tcPr>
          <w:p>
            <w:pPr>
              <w:pStyle w:val="null3"/>
            </w:pPr>
            <w:r>
              <w:rPr/>
              <w:t>4</w:t>
            </w:r>
          </w:p>
        </w:tc>
        <w:tc>
          <w:tcPr>
            <w:tcW w:type="dxa" w:w="2492"/>
          </w:tcPr>
          <w:p>
            <w:pPr>
              <w:pStyle w:val="null3"/>
            </w:pPr>
            <w:r>
              <w:rPr/>
              <w:t>非联合体投标声明</w:t>
            </w:r>
          </w:p>
        </w:tc>
        <w:tc>
          <w:tcPr>
            <w:tcW w:type="dxa" w:w="3322"/>
          </w:tcPr>
          <w:p>
            <w:pPr>
              <w:pStyle w:val="null3"/>
            </w:pPr>
            <w:r>
              <w:rPr/>
              <w:t>需提供非联合体投标声明函</w:t>
            </w:r>
          </w:p>
        </w:tc>
        <w:tc>
          <w:tcPr>
            <w:tcW w:type="dxa" w:w="1661"/>
          </w:tcPr>
          <w:p>
            <w:pPr>
              <w:pStyle w:val="null3"/>
            </w:pPr>
            <w:r>
              <w:rPr/>
              <w:t>资格证明文件</w:t>
            </w:r>
          </w:p>
        </w:tc>
      </w:tr>
      <w:tr>
        <w:tc>
          <w:tcPr>
            <w:tcW w:type="dxa" w:w="831"/>
          </w:tcPr>
          <w:p>
            <w:pPr>
              <w:pStyle w:val="null3"/>
            </w:pPr>
            <w:r>
              <w:rPr/>
              <w:t>5</w:t>
            </w:r>
          </w:p>
        </w:tc>
        <w:tc>
          <w:tcPr>
            <w:tcW w:type="dxa" w:w="2492"/>
          </w:tcPr>
          <w:p>
            <w:pPr>
              <w:pStyle w:val="null3"/>
            </w:pPr>
            <w:r>
              <w:rPr/>
              <w:t>法定代表人身份证明/法定代表人授权委托书</w:t>
            </w:r>
          </w:p>
        </w:tc>
        <w:tc>
          <w:tcPr>
            <w:tcW w:type="dxa" w:w="3322"/>
          </w:tcPr>
          <w:p>
            <w:pPr>
              <w:pStyle w:val="null3"/>
            </w:pPr>
            <w:r>
              <w:rPr/>
              <w:t>法定代表人参加投标的，须提供法定代表人身份证明并提供本人身份证复印件（或扫描件）；法定代表人授权他人参加投标的，须提供法定代表人委托授权书，附法定代表人及被授权身份证复印件（或扫描件）。竞争性磋商文件中凡是需要法定代表人签字或盖章之处，非法人单位的负责人均参照执行；</w:t>
            </w:r>
          </w:p>
        </w:tc>
        <w:tc>
          <w:tcPr>
            <w:tcW w:type="dxa" w:w="1661"/>
          </w:tcPr>
          <w:p>
            <w:pPr>
              <w:pStyle w:val="null3"/>
            </w:pPr>
            <w:r>
              <w:rPr/>
              <w:t>资格证明文件</w:t>
            </w:r>
          </w:p>
        </w:tc>
      </w:tr>
      <w:tr>
        <w:tc>
          <w:tcPr>
            <w:tcW w:type="dxa" w:w="831"/>
          </w:tcPr>
          <w:p>
            <w:pPr>
              <w:pStyle w:val="null3"/>
            </w:pPr>
            <w:r>
              <w:rPr/>
              <w:t>6</w:t>
            </w:r>
          </w:p>
        </w:tc>
        <w:tc>
          <w:tcPr>
            <w:tcW w:type="dxa" w:w="2492"/>
          </w:tcPr>
          <w:p>
            <w:pPr>
              <w:pStyle w:val="null3"/>
            </w:pPr>
            <w:r>
              <w:rPr/>
              <w:t>供应商信用</w:t>
            </w:r>
          </w:p>
        </w:tc>
        <w:tc>
          <w:tcPr>
            <w:tcW w:type="dxa" w:w="3322"/>
          </w:tcPr>
          <w:p>
            <w:pPr>
              <w:pStyle w:val="null3"/>
            </w:pPr>
            <w:r>
              <w:rPr/>
              <w:t>供应商不得被“信用中国”网站（www.creditchina.gov.cn）中列入失信被执行人和重大税收违法失信主体，不得为中国政府采购网（www.ccgp.gov.cn）政府采购严重违法失信行为记录名单中被财政部门禁止参加政府采购活动的供应商；（以代理机构现场查询截图为准）</w:t>
            </w:r>
          </w:p>
        </w:tc>
        <w:tc>
          <w:tcPr>
            <w:tcW w:type="dxa" w:w="1661"/>
          </w:tcPr>
          <w:p>
            <w:pPr>
              <w:pStyle w:val="null3"/>
            </w:pPr>
            <w:r>
              <w:rPr/>
              <w:t>资格证明文件</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 强制优先采购产品承诺函</w:t>
            </w:r>
          </w:p>
        </w:tc>
      </w:tr>
      <w:tr>
        <w:tc>
          <w:tcPr>
            <w:tcW w:type="dxa" w:w="831"/>
          </w:tcPr>
          <w:p>
            <w:pPr>
              <w:pStyle w:val="null3"/>
            </w:pPr>
            <w:r>
              <w:rPr/>
              <w:t>2</w:t>
            </w:r>
          </w:p>
        </w:tc>
        <w:tc>
          <w:tcPr>
            <w:tcW w:type="dxa" w:w="2492"/>
          </w:tcPr>
          <w:p>
            <w:pPr>
              <w:pStyle w:val="null3"/>
            </w:pPr>
            <w:r>
              <w:rPr/>
              <w:t>响应文件完整性</w:t>
            </w:r>
          </w:p>
        </w:tc>
        <w:tc>
          <w:tcPr>
            <w:tcW w:type="dxa" w:w="3322"/>
          </w:tcPr>
          <w:p>
            <w:pPr>
              <w:pStyle w:val="null3"/>
            </w:pPr>
            <w:r>
              <w:rPr/>
              <w:t>均符合磋商文件要求</w:t>
            </w:r>
          </w:p>
        </w:tc>
        <w:tc>
          <w:tcPr>
            <w:tcW w:type="dxa" w:w="1661"/>
          </w:tcPr>
          <w:p>
            <w:pPr>
              <w:pStyle w:val="null3"/>
            </w:pPr>
            <w:r>
              <w:rPr/>
              <w:t>响应文件封面 拒绝政府采购领域商业贿赂承诺书 响应函</w:t>
            </w:r>
          </w:p>
        </w:tc>
      </w:tr>
      <w:tr>
        <w:tc>
          <w:tcPr>
            <w:tcW w:type="dxa" w:w="831"/>
          </w:tcPr>
          <w:p>
            <w:pPr>
              <w:pStyle w:val="null3"/>
            </w:pPr>
            <w:r>
              <w:rPr/>
              <w:t>3</w:t>
            </w:r>
          </w:p>
        </w:tc>
        <w:tc>
          <w:tcPr>
            <w:tcW w:type="dxa" w:w="2492"/>
          </w:tcPr>
          <w:p>
            <w:pPr>
              <w:pStyle w:val="null3"/>
            </w:pPr>
            <w:r>
              <w:rPr/>
              <w:t>响应文件签署、 盖章</w:t>
            </w:r>
          </w:p>
        </w:tc>
        <w:tc>
          <w:tcPr>
            <w:tcW w:type="dxa" w:w="3322"/>
          </w:tcPr>
          <w:p>
            <w:pPr>
              <w:pStyle w:val="null3"/>
            </w:pPr>
            <w:r>
              <w:rPr/>
              <w:t>均符合磋商文件要求</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响应文件有效期</w:t>
            </w:r>
          </w:p>
        </w:tc>
        <w:tc>
          <w:tcPr>
            <w:tcW w:type="dxa" w:w="3322"/>
          </w:tcPr>
          <w:p>
            <w:pPr>
              <w:pStyle w:val="null3"/>
            </w:pPr>
            <w:r>
              <w:rPr/>
              <w:t>均符合磋商文件要求</w:t>
            </w:r>
          </w:p>
        </w:tc>
        <w:tc>
          <w:tcPr>
            <w:tcW w:type="dxa" w:w="1661"/>
          </w:tcPr>
          <w:p>
            <w:pPr>
              <w:pStyle w:val="null3"/>
            </w:pPr>
            <w:r>
              <w:rPr/>
              <w:t>响应函</w:t>
            </w:r>
          </w:p>
        </w:tc>
      </w:tr>
      <w:tr>
        <w:tc>
          <w:tcPr>
            <w:tcW w:type="dxa" w:w="831"/>
          </w:tcPr>
          <w:p>
            <w:pPr>
              <w:pStyle w:val="null3"/>
            </w:pPr>
            <w:r>
              <w:rPr/>
              <w:t>5</w:t>
            </w:r>
          </w:p>
        </w:tc>
        <w:tc>
          <w:tcPr>
            <w:tcW w:type="dxa" w:w="2492"/>
          </w:tcPr>
          <w:p>
            <w:pPr>
              <w:pStyle w:val="null3"/>
            </w:pPr>
            <w:r>
              <w:rPr/>
              <w:t>付款方式</w:t>
            </w:r>
          </w:p>
        </w:tc>
        <w:tc>
          <w:tcPr>
            <w:tcW w:type="dxa" w:w="3322"/>
          </w:tcPr>
          <w:p>
            <w:pPr>
              <w:pStyle w:val="null3"/>
            </w:pPr>
            <w:r>
              <w:rPr/>
              <w:t>符合磋商文件要求</w:t>
            </w:r>
          </w:p>
        </w:tc>
        <w:tc>
          <w:tcPr>
            <w:tcW w:type="dxa" w:w="1661"/>
          </w:tcPr>
          <w:p>
            <w:pPr>
              <w:pStyle w:val="null3"/>
            </w:pPr>
            <w:r>
              <w:rPr/>
              <w:t>技术服务合同条款及其他商务要求应答表</w:t>
            </w:r>
          </w:p>
        </w:tc>
      </w:tr>
      <w:tr>
        <w:tc>
          <w:tcPr>
            <w:tcW w:type="dxa" w:w="831"/>
          </w:tcPr>
          <w:p>
            <w:pPr>
              <w:pStyle w:val="null3"/>
            </w:pPr>
            <w:r>
              <w:rPr/>
              <w:t>6</w:t>
            </w:r>
          </w:p>
        </w:tc>
        <w:tc>
          <w:tcPr>
            <w:tcW w:type="dxa" w:w="2492"/>
          </w:tcPr>
          <w:p>
            <w:pPr>
              <w:pStyle w:val="null3"/>
            </w:pPr>
            <w:r>
              <w:rPr/>
              <w:t>工期</w:t>
            </w:r>
          </w:p>
        </w:tc>
        <w:tc>
          <w:tcPr>
            <w:tcW w:type="dxa" w:w="3322"/>
          </w:tcPr>
          <w:p>
            <w:pPr>
              <w:pStyle w:val="null3"/>
            </w:pPr>
            <w:r>
              <w:rPr/>
              <w:t>符合或优于磋商文件要求</w:t>
            </w:r>
          </w:p>
        </w:tc>
        <w:tc>
          <w:tcPr>
            <w:tcW w:type="dxa" w:w="1661"/>
          </w:tcPr>
          <w:p>
            <w:pPr>
              <w:pStyle w:val="null3"/>
            </w:pPr>
            <w:r>
              <w:rPr/>
              <w:t>技术服务合同条款及其他商务要求应答表 响应函</w:t>
            </w:r>
          </w:p>
        </w:tc>
      </w:tr>
      <w:tr>
        <w:tc>
          <w:tcPr>
            <w:tcW w:type="dxa" w:w="831"/>
          </w:tcPr>
          <w:p>
            <w:pPr>
              <w:pStyle w:val="null3"/>
            </w:pPr>
            <w:r>
              <w:rPr/>
              <w:t>7</w:t>
            </w:r>
          </w:p>
        </w:tc>
        <w:tc>
          <w:tcPr>
            <w:tcW w:type="dxa" w:w="2492"/>
          </w:tcPr>
          <w:p>
            <w:pPr>
              <w:pStyle w:val="null3"/>
            </w:pPr>
            <w:r>
              <w:rPr/>
              <w:t>工程质量</w:t>
            </w:r>
          </w:p>
        </w:tc>
        <w:tc>
          <w:tcPr>
            <w:tcW w:type="dxa" w:w="3322"/>
          </w:tcPr>
          <w:p>
            <w:pPr>
              <w:pStyle w:val="null3"/>
            </w:pPr>
            <w:r>
              <w:rPr/>
              <w:t>符合磋商文件要求</w:t>
            </w:r>
          </w:p>
        </w:tc>
        <w:tc>
          <w:tcPr>
            <w:tcW w:type="dxa" w:w="1661"/>
          </w:tcPr>
          <w:p>
            <w:pPr>
              <w:pStyle w:val="null3"/>
            </w:pPr>
            <w:r>
              <w:rPr/>
              <w:t>技术服务合同条款及其他商务要求应答表 响应函</w:t>
            </w:r>
          </w:p>
        </w:tc>
      </w:tr>
      <w:tr>
        <w:tc>
          <w:tcPr>
            <w:tcW w:type="dxa" w:w="831"/>
          </w:tcPr>
          <w:p>
            <w:pPr>
              <w:pStyle w:val="null3"/>
            </w:pPr>
            <w:r>
              <w:rPr/>
              <w:t>8</w:t>
            </w:r>
          </w:p>
        </w:tc>
        <w:tc>
          <w:tcPr>
            <w:tcW w:type="dxa" w:w="2492"/>
          </w:tcPr>
          <w:p>
            <w:pPr>
              <w:pStyle w:val="null3"/>
            </w:pPr>
            <w:r>
              <w:rPr/>
              <w:t>实质性响应条款</w:t>
            </w:r>
          </w:p>
        </w:tc>
        <w:tc>
          <w:tcPr>
            <w:tcW w:type="dxa" w:w="3322"/>
          </w:tcPr>
          <w:p>
            <w:pPr>
              <w:pStyle w:val="null3"/>
            </w:pPr>
            <w:r>
              <w:rPr/>
              <w:t>完全响应磋商文件要求的各项商务实质性条款</w:t>
            </w:r>
          </w:p>
        </w:tc>
        <w:tc>
          <w:tcPr>
            <w:tcW w:type="dxa" w:w="1661"/>
          </w:tcPr>
          <w:p>
            <w:pPr>
              <w:pStyle w:val="null3"/>
            </w:pPr>
            <w:r>
              <w:rPr/>
              <w:t>技术服务合同条款及其他商务要求应答表</w:t>
            </w:r>
          </w:p>
        </w:tc>
      </w:tr>
      <w:tr>
        <w:tc>
          <w:tcPr>
            <w:tcW w:type="dxa" w:w="831"/>
          </w:tcPr>
          <w:p>
            <w:pPr>
              <w:pStyle w:val="null3"/>
            </w:pPr>
            <w:r>
              <w:rPr/>
              <w:t>9</w:t>
            </w:r>
          </w:p>
        </w:tc>
        <w:tc>
          <w:tcPr>
            <w:tcW w:type="dxa" w:w="2492"/>
          </w:tcPr>
          <w:p>
            <w:pPr>
              <w:pStyle w:val="null3"/>
            </w:pPr>
            <w:r>
              <w:rPr/>
              <w:t>报价唯一</w:t>
            </w:r>
          </w:p>
        </w:tc>
        <w:tc>
          <w:tcPr>
            <w:tcW w:type="dxa" w:w="3322"/>
          </w:tcPr>
          <w:p>
            <w:pPr>
              <w:pStyle w:val="null3"/>
            </w:pPr>
            <w:r>
              <w:rPr/>
              <w:t>只能有一个有效报价，不得提交选择性报价，且报价不超过最高限价</w:t>
            </w:r>
          </w:p>
        </w:tc>
        <w:tc>
          <w:tcPr>
            <w:tcW w:type="dxa" w:w="1661"/>
          </w:tcPr>
          <w:p>
            <w:pPr>
              <w:pStyle w:val="null3"/>
            </w:pPr>
            <w:r>
              <w:rPr/>
              <w:t>报价函 标的清单</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确保工程质量的技术组织措施</w:t>
            </w:r>
          </w:p>
        </w:tc>
        <w:tc>
          <w:tcPr>
            <w:tcW w:type="dxa" w:w="2492"/>
          </w:tcPr>
          <w:p>
            <w:pPr>
              <w:pStyle w:val="null3"/>
            </w:pPr>
            <w:r>
              <w:rPr/>
              <w:t>1.确保工程质量体系相对完善、科学，保障措施有针对性，且合理可行（4-8]分；2.确保工程质量体系较完整，有保证措施[0-4]分。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确保安全生产的技术组织措施</w:t>
            </w:r>
          </w:p>
        </w:tc>
        <w:tc>
          <w:tcPr>
            <w:tcW w:type="dxa" w:w="2492"/>
          </w:tcPr>
          <w:p>
            <w:pPr>
              <w:pStyle w:val="null3"/>
            </w:pPr>
            <w:r>
              <w:rPr/>
              <w:t>1.确保安全生产体系相对完善、科学，保障措施有针对性，且合理可行（4-8]分； 2 确保安全生产体系体系较完整，有保证措施[0-4]分。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确保文明施工的技术组织措施及环境保护措施</w:t>
            </w:r>
          </w:p>
        </w:tc>
        <w:tc>
          <w:tcPr>
            <w:tcW w:type="dxa" w:w="2492"/>
          </w:tcPr>
          <w:p>
            <w:pPr>
              <w:pStyle w:val="null3"/>
            </w:pPr>
            <w:r>
              <w:rPr/>
              <w:t>1.现场安全文明环境保护施工体系相对完善、科学，保障措施 有针对性，且合理可行（4-8]分； 2.现场安全文明环境保护施工体系较完整,有保证措施[0-4] 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确保工期的技术组织措施</w:t>
            </w:r>
          </w:p>
        </w:tc>
        <w:tc>
          <w:tcPr>
            <w:tcW w:type="dxa" w:w="2492"/>
          </w:tcPr>
          <w:p>
            <w:pPr>
              <w:pStyle w:val="null3"/>
            </w:pPr>
            <w:r>
              <w:rPr/>
              <w:t>1.工程进度安排详细、合理，工期保证措施相对完善，有针对性，且科学合理（4-8]分； 2.工程进度安排详细、合理，有工期保证措施[0-4]分。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施工方案</w:t>
            </w:r>
          </w:p>
        </w:tc>
        <w:tc>
          <w:tcPr>
            <w:tcW w:type="dxa" w:w="2492"/>
          </w:tcPr>
          <w:p>
            <w:pPr>
              <w:pStyle w:val="null3"/>
            </w:pPr>
            <w:r>
              <w:rPr/>
              <w:t>评委根据编制内容的可行性、完整性等综合评比； ①编制详细、较完整、切实可行的得[6-8]分；②编制比较详细、可行性一般的得[3-6)分；③编制粗略、可行性较差的得[0-3）分。</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项目经理部组成人员</w:t>
            </w:r>
          </w:p>
        </w:tc>
        <w:tc>
          <w:tcPr>
            <w:tcW w:type="dxa" w:w="2492"/>
          </w:tcPr>
          <w:p>
            <w:pPr>
              <w:pStyle w:val="null3"/>
            </w:pPr>
            <w:r>
              <w:rPr/>
              <w:t>1.项目部人员配备齐全充足，岗位安排合理，人员分工明确[5-10]分； 2.项目部人员配备基本齐全，人员职责基本明确、分工较清晰 [0-5）分。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项目管理机构组成表</w:t>
            </w:r>
          </w:p>
          <w:p>
            <w:pPr>
              <w:pStyle w:val="null3"/>
            </w:pPr>
            <w:r>
              <w:rPr/>
              <w:t>主要人员简历表</w:t>
            </w:r>
          </w:p>
        </w:tc>
      </w:tr>
      <w:tr>
        <w:tc>
          <w:tcPr>
            <w:tcW w:type="dxa" w:w="831"/>
            <w:vMerge/>
          </w:tcPr>
          <w:p/>
        </w:tc>
        <w:tc>
          <w:tcPr>
            <w:tcW w:type="dxa" w:w="1661"/>
          </w:tcPr>
          <w:p>
            <w:pPr>
              <w:pStyle w:val="null3"/>
            </w:pPr>
            <w:r>
              <w:rPr/>
              <w:t>主要机械配备和材料投入计划</w:t>
            </w:r>
          </w:p>
        </w:tc>
        <w:tc>
          <w:tcPr>
            <w:tcW w:type="dxa" w:w="2492"/>
          </w:tcPr>
          <w:p>
            <w:pPr>
              <w:pStyle w:val="null3"/>
            </w:pPr>
            <w:r>
              <w:rPr/>
              <w:t>1.主要机械、材料配备齐全充足，对工程的进度有强有力的保证[5-10]分； 2.主要机械、采购材料配备较齐全，对工程的进度有一定的保证[0-5）分。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合理化建议</w:t>
            </w:r>
          </w:p>
        </w:tc>
        <w:tc>
          <w:tcPr>
            <w:tcW w:type="dxa" w:w="2492"/>
          </w:tcPr>
          <w:p>
            <w:pPr>
              <w:pStyle w:val="null3"/>
            </w:pPr>
            <w:r>
              <w:rPr/>
              <w:t>1.对本项目实施与管理提出合理化建议，有助于项目顺利进行，按其响应程度计0-3分。 2.针对本次项目的服务承诺。按其响应程度计0-2分。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技术方案</w:t>
            </w:r>
          </w:p>
        </w:tc>
      </w:tr>
      <w:tr>
        <w:tc>
          <w:tcPr>
            <w:tcW w:type="dxa" w:w="831"/>
            <w:vMerge/>
          </w:tcPr>
          <w:p/>
        </w:tc>
        <w:tc>
          <w:tcPr>
            <w:tcW w:type="dxa" w:w="1661"/>
          </w:tcPr>
          <w:p>
            <w:pPr>
              <w:pStyle w:val="null3"/>
            </w:pPr>
            <w:r>
              <w:rPr/>
              <w:t>业绩</w:t>
            </w:r>
          </w:p>
        </w:tc>
        <w:tc>
          <w:tcPr>
            <w:tcW w:type="dxa" w:w="2492"/>
          </w:tcPr>
          <w:p>
            <w:pPr>
              <w:pStyle w:val="null3"/>
            </w:pPr>
            <w:r>
              <w:rPr/>
              <w:t>2020 年1月1日至投标截止时间止，供应商承接过类似项目业绩，每有1项得1 分，本项得5分。 注：类似工程为建筑工程施工类；以响应文件中所附施工合同或中标（成交）通知书复印件加盖公章为准，否则视为无效业绩。</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供应商类似项目业绩一览表</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满足磋商文件要求且投标报价最低的为评标基准价，其价格分为满分。 投标报价得分=（评标基准价/投标报价）×30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p>
            <w:pPr>
              <w:pStyle w:val="null3"/>
            </w:pPr>
            <w:r>
              <w:rPr/>
              <w:t>报价明细表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详见附件：标的清单</w:t>
      </w:r>
    </w:p>
    <w:p>
      <w:pPr>
        <w:pStyle w:val="null3"/>
        <w:ind w:firstLine="960"/>
      </w:pPr>
      <w:r>
        <w:rPr/>
        <w:t>详见附件：资格证明文件</w:t>
      </w:r>
    </w:p>
    <w:p>
      <w:pPr>
        <w:pStyle w:val="null3"/>
        <w:ind w:firstLine="960"/>
      </w:pPr>
      <w:r>
        <w:rPr/>
        <w:t>详见附件：拒绝政府采购领域商业贿赂承诺书</w:t>
      </w:r>
    </w:p>
    <w:p>
      <w:pPr>
        <w:pStyle w:val="null3"/>
        <w:ind w:firstLine="960"/>
      </w:pPr>
      <w:r>
        <w:rPr/>
        <w:t>详见附件：报价明细表</w:t>
      </w:r>
    </w:p>
    <w:p>
      <w:pPr>
        <w:pStyle w:val="null3"/>
        <w:ind w:firstLine="960"/>
      </w:pPr>
      <w:r>
        <w:rPr/>
        <w:t>详见附件：技术方案</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详见附件：建设工程施工合同.docx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