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版本号：241031002</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高陵区中医医院迁建项目二期竣工结算造价咨询审计</w:t>
      </w:r>
    </w:p>
    <w:p>
      <w:pPr>
        <w:pStyle w:val="null3"/>
        <w:jc w:val="center"/>
        <w:outlineLvl w:val="2"/>
      </w:pPr>
      <w:r>
        <w:rPr>
          <w:sz w:val="28"/>
          <w:b/>
        </w:rPr>
        <w:t>采购项目编号：</w:t>
      </w:r>
      <w:r>
        <w:rPr>
          <w:sz w:val="28"/>
          <w:b/>
        </w:rPr>
        <w:t>HSZB-2024-067</w:t>
      </w:r>
      <w:r>
        <w:br/>
      </w:r>
      <w:r>
        <w:br/>
      </w:r>
      <w:r>
        <w:br/>
      </w:r>
    </w:p>
    <w:p>
      <w:pPr>
        <w:pStyle w:val="null3"/>
        <w:jc w:val="center"/>
        <w:outlineLvl w:val="2"/>
      </w:pPr>
      <w:r>
        <w:rPr>
          <w:sz w:val="28"/>
          <w:b/>
        </w:rPr>
        <w:t>西安市高陵区审计局</w:t>
      </w:r>
    </w:p>
    <w:p>
      <w:pPr>
        <w:pStyle w:val="null3"/>
        <w:jc w:val="center"/>
        <w:outlineLvl w:val="2"/>
      </w:pPr>
      <w:r>
        <w:rPr>
          <w:sz w:val="28"/>
          <w:b/>
        </w:rPr>
        <w:t>华戍(陕西)项目管理有限公司</w:t>
      </w:r>
      <w:r>
        <w:rPr>
          <w:sz w:val="28"/>
          <w:b/>
        </w:rPr>
        <w:t>共同编制</w:t>
      </w:r>
    </w:p>
    <w:p>
      <w:pPr>
        <w:pStyle w:val="null3"/>
        <w:jc w:val="center"/>
        <w:outlineLvl w:val="2"/>
      </w:pPr>
      <w:r>
        <w:rPr>
          <w:sz w:val="28"/>
          <w:b/>
        </w:rPr>
        <w:t>2024年10月27日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华戍(陕西)项目管理有限公司</w:t>
      </w:r>
      <w:r>
        <w:rPr/>
        <w:t>（以下简称“代理机构”）受</w:t>
      </w:r>
      <w:r>
        <w:rPr/>
        <w:t>西安市高陵区审计局</w:t>
      </w:r>
      <w:r>
        <w:rPr/>
        <w:t>委托，拟对</w:t>
      </w:r>
      <w:r>
        <w:rPr/>
        <w:t>高陵区中医医院迁建项目二期竣工结算造价咨询审计</w:t>
      </w:r>
      <w:r>
        <w:rPr/>
        <w:t>采用竞争性磋商采购方式进行采购，兹邀请供应商参加本项目的竞争性磋商。</w:t>
      </w:r>
    </w:p>
    <w:p>
      <w:pPr>
        <w:pStyle w:val="null3"/>
        <w:outlineLvl w:val="2"/>
      </w:pPr>
      <w:r>
        <w:rPr>
          <w:sz w:val="28"/>
          <w:b/>
        </w:rPr>
        <w:t>一、项目编号：</w:t>
      </w:r>
      <w:r>
        <w:rPr>
          <w:sz w:val="28"/>
          <w:b/>
        </w:rPr>
        <w:t>HSZB-2024-067</w:t>
      </w:r>
    </w:p>
    <w:p>
      <w:pPr>
        <w:pStyle w:val="null3"/>
        <w:outlineLvl w:val="2"/>
      </w:pPr>
      <w:r>
        <w:rPr>
          <w:sz w:val="28"/>
          <w:b/>
        </w:rPr>
        <w:t>二、项目名称：</w:t>
      </w:r>
      <w:r>
        <w:rPr>
          <w:sz w:val="28"/>
          <w:b/>
        </w:rPr>
        <w:t>高陵区中医医院迁建项目二期竣工结算造价咨询审计</w:t>
      </w:r>
    </w:p>
    <w:p>
      <w:pPr>
        <w:pStyle w:val="null3"/>
        <w:outlineLvl w:val="2"/>
      </w:pPr>
      <w:r>
        <w:rPr>
          <w:sz w:val="28"/>
          <w:b/>
        </w:rPr>
        <w:t>三、磋商项目简介</w:t>
      </w:r>
    </w:p>
    <w:p>
      <w:pPr>
        <w:pStyle w:val="null3"/>
        <w:ind w:firstLine="480"/>
      </w:pPr>
      <w:r>
        <w:rPr/>
        <w:t>高陵区中医医院迁建项目二期位于西安市高陵区榆楚村，建筑面积16750㎡。其中：地上建筑面积为11000㎡，地下建筑面积为5750㎡。依据相关职能，对该项目进行工程造价审核工作</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采购包1（高陵区中医医院迁建项目二期竣工结算造价咨询审计）：属于专门面向中小企业采购。</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t>2、财务状况报告：提供2023年度财务审计报告（至少包括资产负债表、利润表、现金流量表及财务报表附注，成立时间至提交投标文件截止时间不足一年的可提供成立后任意时段的资产负债表）或磋商前6个月内其基本存款账户开户银行出具的资信证明及基本存款账户开户证明资料；成立时间至提交投标文件递交 截止时间不足一年的可提供成立后任意时段的资产负债表；供应商需在项目电子化交易系统中按要求上传相应证明文件并进行电子签章；</w:t>
      </w:r>
    </w:p>
    <w:p>
      <w:pPr>
        <w:pStyle w:val="null3"/>
      </w:pPr>
      <w:r>
        <w:rPr/>
        <w:t>3、完税证明：提供磋商截止时间前6个月内，已缴纳的任意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p>
      <w:pPr>
        <w:pStyle w:val="null3"/>
      </w:pPr>
      <w:r>
        <w:rPr/>
        <w:t>4、社保缴纳凭证：提供磋商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p>
      <w:pPr>
        <w:pStyle w:val="null3"/>
      </w:pPr>
      <w:r>
        <w:rPr/>
        <w:t>5、拟派项目负责人：拟派项目负责人须具备一级注册造价工程师资格，且在本单位注册并缴纳社保。</w:t>
      </w:r>
    </w:p>
    <w:p>
      <w:pPr>
        <w:pStyle w:val="null3"/>
      </w:pPr>
      <w:r>
        <w:rPr/>
        <w:t>6、信用资格要求：供应商不得为“信用中国”网站（www.creditchina.gov.cn）中列入失信 被执行人和税收违法黑名单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t>7、履约能力：提供具有履行本合同所必需的设备和专业技术能力的声明。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西安市高陵区审计局</w:t>
      </w:r>
    </w:p>
    <w:p>
      <w:pPr>
        <w:pStyle w:val="null3"/>
      </w:pPr>
      <w:r>
        <w:rPr/>
        <w:t xml:space="preserve"> 地址： </w:t>
      </w:r>
      <w:r>
        <w:rPr/>
        <w:t>西安市高陵区县门街29号</w:t>
      </w:r>
    </w:p>
    <w:p>
      <w:pPr>
        <w:pStyle w:val="null3"/>
      </w:pPr>
      <w:r>
        <w:rPr/>
        <w:t xml:space="preserve"> 邮编： </w:t>
      </w:r>
      <w:r>
        <w:rPr/>
        <w:t>710000</w:t>
      </w:r>
    </w:p>
    <w:p>
      <w:pPr>
        <w:pStyle w:val="null3"/>
      </w:pPr>
      <w:r>
        <w:rPr/>
        <w:t xml:space="preserve"> 联系人： </w:t>
      </w:r>
      <w:r>
        <w:rPr/>
        <w:t>西安市高陵区审计局经办</w:t>
      </w:r>
    </w:p>
    <w:p>
      <w:pPr>
        <w:pStyle w:val="null3"/>
      </w:pPr>
      <w:r>
        <w:rPr/>
        <w:t xml:space="preserve"> 联系电话： </w:t>
      </w:r>
      <w:r>
        <w:rPr/>
        <w:t>029-86912426</w:t>
      </w:r>
    </w:p>
    <w:p>
      <w:pPr>
        <w:pStyle w:val="null3"/>
        <w:outlineLvl w:val="3"/>
      </w:pPr>
      <w:r>
        <w:rPr>
          <w:sz w:val="24"/>
          <w:b/>
        </w:rPr>
        <w:t>代理机构：</w:t>
      </w:r>
      <w:r>
        <w:rPr>
          <w:sz w:val="24"/>
          <w:b/>
        </w:rPr>
        <w:t>华戍(陕西)项目管理有限公司</w:t>
      </w:r>
    </w:p>
    <w:p>
      <w:pPr>
        <w:pStyle w:val="null3"/>
      </w:pPr>
      <w:r>
        <w:rPr/>
        <w:t xml:space="preserve"> 地址： </w:t>
      </w:r>
      <w:r>
        <w:rPr/>
        <w:t>陕西省西安市经济技术开发区凤城十二路 66号首创富北高银26幢11407室</w:t>
      </w:r>
    </w:p>
    <w:p>
      <w:pPr>
        <w:pStyle w:val="null3"/>
      </w:pPr>
      <w:r>
        <w:rPr/>
        <w:t xml:space="preserve"> 邮编： </w:t>
      </w:r>
      <w:r>
        <w:rPr/>
        <w:t>710000</w:t>
      </w:r>
    </w:p>
    <w:p>
      <w:pPr>
        <w:pStyle w:val="null3"/>
      </w:pPr>
      <w:r>
        <w:rPr/>
        <w:t xml:space="preserve"> 联系人： </w:t>
      </w:r>
      <w:r>
        <w:rPr/>
        <w:t>王工</w:t>
      </w:r>
    </w:p>
    <w:p>
      <w:pPr>
        <w:pStyle w:val="null3"/>
      </w:pPr>
      <w:r>
        <w:rPr/>
        <w:t xml:space="preserve"> 联系电话： </w:t>
      </w:r>
      <w:r>
        <w:rPr/>
        <w:t>029-86108315</w:t>
      </w:r>
    </w:p>
    <w:p>
      <w:pPr>
        <w:pStyle w:val="null3"/>
        <w:outlineLvl w:val="3"/>
      </w:pPr>
      <w:r>
        <w:rPr>
          <w:sz w:val="24"/>
          <w:b/>
        </w:rPr>
        <w:t>采购监督机构：</w:t>
      </w:r>
      <w:r>
        <w:rPr>
          <w:sz w:val="24"/>
          <w:b/>
        </w:rPr>
        <w:t>西安市高陵区采购管理科</w:t>
      </w:r>
    </w:p>
    <w:p>
      <w:pPr>
        <w:pStyle w:val="null3"/>
        <w:ind w:firstLine="480"/>
      </w:pPr>
      <w:r>
        <w:rPr/>
        <w:t>联系人：</w:t>
      </w:r>
      <w:r>
        <w:rPr/>
        <w:t>药老师</w:t>
      </w:r>
    </w:p>
    <w:p>
      <w:pPr>
        <w:pStyle w:val="null3"/>
        <w:ind w:firstLine="480"/>
      </w:pPr>
      <w:r>
        <w:rPr/>
        <w:t>联系电话：</w:t>
      </w:r>
      <w:r>
        <w:rPr/>
        <w:t>029-86919290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成交供应商领取中标通知书前，按国家计委颁发的《招标代理服务收费管理暂行办法》（计价格[2002]1980号）和国家发展改革委员会办公厅颁发的《关于招标代理服务收费有关问题的通知》（发改办价格[2003] 857号）的标准向采购代理机构一次性全额支付。各供应商均应在本项目磋商报价中综合考虑计入上述的全部费用，无论供应商是否在其磋商报价中明确，均视为已包含在本项目磋商报价之中。采购人不因任何原因支付上述全部费用。 采购代理费收款账户 公司名称：华戍（陕西）项目管理有限公司 银行账号：129916506010000 开户行：招商银行股份有限公司西安文景路支行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西安市高陵区审计局</w:t>
      </w:r>
      <w:r>
        <w:rPr/>
        <w:t>和</w:t>
      </w:r>
      <w:r>
        <w:rPr/>
        <w:t>华戍(陕西)项目管理有限公司</w:t>
      </w:r>
      <w:r>
        <w:rPr/>
        <w:t>享有。对磋商文件中供应商参加本次政府采购活动应当具备的条件，磋商项目技术、服务、商务及其他要求，评审细则及标准由</w:t>
      </w:r>
      <w:r>
        <w:rPr/>
        <w:t>西安市高陵区审计局</w:t>
      </w:r>
      <w:r>
        <w:rPr/>
        <w:t>负责解释。除上述磋商文件内容，其他内容由</w:t>
      </w:r>
      <w:r>
        <w:rPr/>
        <w:t>华戍(陕西)项目管理有限公司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西安市高陵区审计局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华戍(陕西)项目管理有限公司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质量达到现行合格标准，符合国家、行业、地方规定以及招标文件规定标准要求。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华戍(陕西)项目管理有限公司</w:t>
      </w:r>
      <w:r>
        <w:rPr/>
        <w:t xml:space="preserve"> 负责答复；供应商对除采购需求外的采购文件的询问、质疑由</w:t>
      </w:r>
      <w:r>
        <w:rPr/>
        <w:t>华戍(陕西)项目管理有限公司</w:t>
      </w:r>
      <w:r>
        <w:rPr/>
        <w:t xml:space="preserve"> 负责答复；供应商对采购过程、采购结果的询问、质疑由 </w:t>
      </w:r>
      <w:r>
        <w:rPr/>
        <w:t>华戍(陕西)项目管理有限公司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联系人：王工</w:t>
      </w:r>
    </w:p>
    <w:p>
      <w:pPr>
        <w:pStyle w:val="null3"/>
      </w:pPr>
      <w:r>
        <w:rPr/>
        <w:t>联系电话：029-86108315</w:t>
      </w:r>
    </w:p>
    <w:p>
      <w:pPr>
        <w:pStyle w:val="null3"/>
      </w:pPr>
      <w:r>
        <w:rPr/>
        <w:t>地址：陕西省西安市经济技术开发区凤城十二路66号首创富北高银26幢11407室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高陵区中医医院迁建项目二期建设项目现经高陵区卫健局内审报送我单位进行审计，该项目报送施工结算价共计41305.17万元，根据相关职能，现拟委托对该项目进行工程造价审核工作</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600,000.00</w:t>
      </w:r>
    </w:p>
    <w:p>
      <w:pPr>
        <w:pStyle w:val="null3"/>
      </w:pPr>
      <w:r>
        <w:rPr/>
        <w:t>采购包最高限价（元）: 600,000.00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工程造价咨询服务</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标的名称：工程造价咨询服务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一、项目概况</w:t>
            </w:r>
          </w:p>
          <w:p>
            <w:pPr>
              <w:pStyle w:val="null3"/>
            </w:pPr>
            <w:r>
              <w:rPr/>
              <w:t>高陵区中医医院迁建项目二期建设项目现经高陵区卫健局内审后报送我单位进行审计，该项目报送施工结算价共计41,305.17 万元,依据相关职能，现拟委托对该项目进行工程造价审核工作。</w:t>
            </w:r>
          </w:p>
          <w:p>
            <w:pPr>
              <w:pStyle w:val="null3"/>
            </w:pPr>
            <w:r>
              <w:rPr/>
              <w:t>二、服务内容(包括工作区域、工作内容等)</w:t>
            </w:r>
            <w:r>
              <w:br/>
            </w:r>
            <w:r>
              <w:rPr/>
              <w:t xml:space="preserve"> 工程造价咨询服务:主要对该项目竣工结算情况进行审核。按照要求对项目进行现场查勘等审计取证等程序，并出具审计报告。</w:t>
            </w:r>
            <w:r>
              <w:br/>
            </w:r>
            <w:r>
              <w:rPr/>
              <w:t xml:space="preserve"> 三、服务要求(如对人员配置、专业设备、服务标准等)</w:t>
            </w:r>
            <w:r>
              <w:br/>
            </w:r>
            <w:r>
              <w:rPr/>
              <w:t xml:space="preserve"> 在合同执行过程中服务商应配备专业能力人员开展项目审核工作，并依据相关定额标准及政策性文件，出具审核报告等。</w:t>
            </w:r>
            <w:r>
              <w:br/>
            </w:r>
            <w:r>
              <w:rPr/>
              <w:t xml:space="preserve"> 四、商务要求(如服务期限、款项结算等)</w:t>
            </w:r>
            <w:r>
              <w:br/>
            </w:r>
            <w:r>
              <w:rPr/>
              <w:t xml:space="preserve"> (一)服务期限:按照合同约定实现完成项目审计，出具审核报告。</w:t>
            </w:r>
            <w:r>
              <w:br/>
            </w:r>
            <w:r>
              <w:rPr/>
              <w:t xml:space="preserve"> (二)款项结算:待项目审计结束后，依据工程造价咨询合同及审计报告等一次付清相关咨询费用。</w:t>
            </w:r>
            <w:r>
              <w:br/>
            </w:r>
            <w:r>
              <w:rPr/>
              <w:t xml:space="preserve"> 五、其他一成果交付要求</w:t>
            </w:r>
            <w:r>
              <w:br/>
            </w:r>
            <w:r>
              <w:rPr/>
              <w:t xml:space="preserve"> 本项目咨询单位应提供的关于该项目审计报告7份、审计结算书及7份及审计资料光盘1份。</w:t>
            </w:r>
          </w:p>
        </w:tc>
      </w:tr>
    </w:tbl>
    <w:p>
      <w:pPr>
        <w:pStyle w:val="null3"/>
        <w:outlineLvl w:val="2"/>
      </w:pPr>
      <w:r>
        <w:rPr>
          <w:sz w:val="28"/>
          <w:b/>
        </w:rPr>
        <w:t>3.2.3人员配置要求</w:t>
      </w:r>
    </w:p>
    <w:p>
      <w:pPr>
        <w:pStyle w:val="null3"/>
      </w:pPr>
      <w:r>
        <w:rPr/>
        <w:t>采购包1：</w:t>
      </w:r>
    </w:p>
    <w:p>
      <w:pPr>
        <w:pStyle w:val="null3"/>
      </w:pPr>
      <w:r>
        <w:rPr/>
        <w:t>提供满足本项目采购人需求的人员配置，具体内容参照 第六章 磋商办法中的 评审细则及标准。</w:t>
      </w:r>
    </w:p>
    <w:p>
      <w:pPr>
        <w:pStyle w:val="null3"/>
        <w:outlineLvl w:val="2"/>
      </w:pPr>
      <w:r>
        <w:rPr>
          <w:sz w:val="28"/>
          <w:b/>
        </w:rPr>
        <w:t>3.2.4设施设备要求</w:t>
      </w:r>
    </w:p>
    <w:p>
      <w:pPr>
        <w:pStyle w:val="null3"/>
      </w:pPr>
      <w:r>
        <w:rPr/>
        <w:t>采购包1：</w:t>
      </w:r>
    </w:p>
    <w:p>
      <w:pPr>
        <w:pStyle w:val="null3"/>
      </w:pPr>
      <w:r>
        <w:rPr/>
        <w:t>提供满足本项目采购人需求，具体以本项目合同约定为准。</w:t>
      </w:r>
    </w:p>
    <w:p>
      <w:pPr>
        <w:pStyle w:val="null3"/>
        <w:outlineLvl w:val="2"/>
      </w:pPr>
      <w:r>
        <w:rPr>
          <w:sz w:val="28"/>
          <w:b/>
        </w:rPr>
        <w:t>3.2.5其他要求</w:t>
      </w:r>
    </w:p>
    <w:p>
      <w:pPr>
        <w:pStyle w:val="null3"/>
      </w:pPr>
      <w:r>
        <w:rPr/>
        <w:t>采购包1：</w:t>
      </w:r>
    </w:p>
    <w:p>
      <w:pPr>
        <w:pStyle w:val="null3"/>
      </w:pPr>
      <w:r>
        <w:rPr/>
        <w:t>按合同相关条款约定</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按照合同约定实现完成项目审计，出具审核报告</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本项目验收由采购人有关部门进行验收，质量达到现行合格标准，符合国家、行业、地方规定以及招标文件规定标准要求</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待项目审计结束后，依据工程造价咨询合同及审计报告等一次付清相关咨询费用</w:t>
      </w:r>
      <w:r>
        <w:rPr/>
        <w:t xml:space="preserve"> ，达到付款条件起 </w:t>
      </w:r>
      <w:r>
        <w:rPr/>
        <w:t>90</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（一）按《政府采购法》、《民典法》中的相关条款执行。 （二）未按合同要求提供服务不能满足采购人要求，成交供应商必须无条件提高技术，完善质量，否则，采购人有权终止合同。 解决争议的方法:本合同在履行过程中发生的争议，由甲、乙双方当事人协商解决，协商不成的提交委托人所在地人民法院起诉。</w:t>
      </w:r>
    </w:p>
    <w:p>
      <w:pPr>
        <w:pStyle w:val="null3"/>
        <w:outlineLvl w:val="2"/>
      </w:pPr>
      <w:r>
        <w:rPr>
          <w:sz w:val="28"/>
          <w:b/>
        </w:rPr>
        <w:t>3.4其他要求</w:t>
      </w:r>
    </w:p>
    <w:p>
      <w:pPr>
        <w:pStyle w:val="null3"/>
      </w:pPr>
      <w:r>
        <w:rPr/>
        <w:t>知识产权：甲方对本合同履行期间产生的成果（包括乙方交付的全部成果以及本合同履行过程中产生的技术文件）拥有全部权利，包括知识产权、所有权及相应利益。乙方保证甲方在使用合同服务时，不承担任何涉及知识产权法律诉讼的责任。 本项目最终签订的合同价为具体数额（不得超过采购预算）与审核费基本收费费率（以最终实际审定金额为基数）两种，具体数额为响应文件中报价表数额；审核费基本收费费率（供应商自主报审核费费率，不得超过陕西省造价咨询费用收费标准（陕价行发〔2014〕88号）的相关规定）需在商务应答表中体现。采购人与成交供应商最终以以上两者中的低价结算。</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财务审计报告（至少包括资产负债表、利润表、现金流量表及财务报表附注，成立时间至提交投标文件截止时间不足一年的可提供成立后任意时段的资产负债表）或磋商前6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t>供应商资格证明材料 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其他证明材料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t>供应商资格证明材料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财务审计报告（至少包括资产负债表、利润表、现金流量表及财务报表附注，成立时间至提交投标文件截止时间不足一年的可提供成立后任意时段的资产负债表）或磋商前6个月内其基本存款账户开户银行出具的资信证明及基本存款账户开户证明资料；成立时间至提交投标文件递交 截止时间不足一年的可提供成立后任意时段的资产负债表；供应商需在项目电子化交易系统中按要求上传相应证明文件并进行电子签章；</w:t>
            </w:r>
          </w:p>
        </w:tc>
        <w:tc>
          <w:tcPr>
            <w:tcW w:type="dxa" w:w="1661"/>
          </w:tcPr>
          <w:p>
            <w:pPr>
              <w:pStyle w:val="null3"/>
            </w:pPr>
            <w:r>
              <w:rPr/>
              <w:t>供应商资格证明材料</w:t>
            </w:r>
          </w:p>
        </w:tc>
      </w:tr>
      <w:tr>
        <w:tc>
          <w:tcPr>
            <w:tcW w:type="dxa" w:w="831"/>
          </w:tcPr>
          <w:p>
            <w:pPr>
              <w:pStyle w:val="null3"/>
            </w:pPr>
            <w:r>
              <w:rPr/>
              <w:t>3</w:t>
            </w:r>
          </w:p>
        </w:tc>
        <w:tc>
          <w:tcPr>
            <w:tcW w:type="dxa" w:w="2492"/>
          </w:tcPr>
          <w:p>
            <w:pPr>
              <w:pStyle w:val="null3"/>
            </w:pPr>
            <w:r>
              <w:rPr/>
              <w:t>完税证明</w:t>
            </w:r>
          </w:p>
        </w:tc>
        <w:tc>
          <w:tcPr>
            <w:tcW w:type="dxa" w:w="3322"/>
          </w:tcPr>
          <w:p>
            <w:pPr>
              <w:pStyle w:val="null3"/>
            </w:pPr>
            <w:r>
              <w:rPr/>
              <w:t>提供磋商截止时间前6个月内，已缴纳的任意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tc>
        <w:tc>
          <w:tcPr>
            <w:tcW w:type="dxa" w:w="1661"/>
          </w:tcPr>
          <w:p>
            <w:pPr>
              <w:pStyle w:val="null3"/>
            </w:pPr>
            <w:r>
              <w:rPr/>
              <w:t>供应商资格证明材料</w:t>
            </w:r>
          </w:p>
        </w:tc>
      </w:tr>
      <w:tr>
        <w:tc>
          <w:tcPr>
            <w:tcW w:type="dxa" w:w="831"/>
          </w:tcPr>
          <w:p>
            <w:pPr>
              <w:pStyle w:val="null3"/>
            </w:pPr>
            <w:r>
              <w:rPr/>
              <w:t>4</w:t>
            </w:r>
          </w:p>
        </w:tc>
        <w:tc>
          <w:tcPr>
            <w:tcW w:type="dxa" w:w="2492"/>
          </w:tcPr>
          <w:p>
            <w:pPr>
              <w:pStyle w:val="null3"/>
            </w:pPr>
            <w:r>
              <w:rPr/>
              <w:t>社保缴纳凭证</w:t>
            </w:r>
          </w:p>
        </w:tc>
        <w:tc>
          <w:tcPr>
            <w:tcW w:type="dxa" w:w="3322"/>
          </w:tcPr>
          <w:p>
            <w:pPr>
              <w:pStyle w:val="null3"/>
            </w:pPr>
            <w:r>
              <w:rPr/>
              <w:t>提供磋商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tc>
        <w:tc>
          <w:tcPr>
            <w:tcW w:type="dxa" w:w="1661"/>
          </w:tcPr>
          <w:p>
            <w:pPr>
              <w:pStyle w:val="null3"/>
            </w:pPr>
            <w:r>
              <w:rPr/>
              <w:t>供应商资格证明材料</w:t>
            </w:r>
          </w:p>
        </w:tc>
      </w:tr>
      <w:tr>
        <w:tc>
          <w:tcPr>
            <w:tcW w:type="dxa" w:w="831"/>
          </w:tcPr>
          <w:p>
            <w:pPr>
              <w:pStyle w:val="null3"/>
            </w:pPr>
            <w:r>
              <w:rPr/>
              <w:t>5</w:t>
            </w:r>
          </w:p>
        </w:tc>
        <w:tc>
          <w:tcPr>
            <w:tcW w:type="dxa" w:w="2492"/>
          </w:tcPr>
          <w:p>
            <w:pPr>
              <w:pStyle w:val="null3"/>
            </w:pPr>
            <w:r>
              <w:rPr/>
              <w:t>拟派项目负责人</w:t>
            </w:r>
          </w:p>
        </w:tc>
        <w:tc>
          <w:tcPr>
            <w:tcW w:type="dxa" w:w="3322"/>
          </w:tcPr>
          <w:p>
            <w:pPr>
              <w:pStyle w:val="null3"/>
            </w:pPr>
            <w:r>
              <w:rPr/>
              <w:t>拟派项目负责人须具备一级注册造价工程师资格，且在本单位注册并缴纳社保。</w:t>
            </w:r>
          </w:p>
        </w:tc>
        <w:tc>
          <w:tcPr>
            <w:tcW w:type="dxa" w:w="1661"/>
          </w:tcPr>
          <w:p>
            <w:pPr>
              <w:pStyle w:val="null3"/>
            </w:pPr>
            <w:r>
              <w:rPr/>
              <w:t>供应商资格证明材料</w:t>
            </w:r>
          </w:p>
        </w:tc>
      </w:tr>
      <w:tr>
        <w:tc>
          <w:tcPr>
            <w:tcW w:type="dxa" w:w="831"/>
          </w:tcPr>
          <w:p>
            <w:pPr>
              <w:pStyle w:val="null3"/>
            </w:pPr>
            <w:r>
              <w:rPr/>
              <w:t>6</w:t>
            </w:r>
          </w:p>
        </w:tc>
        <w:tc>
          <w:tcPr>
            <w:tcW w:type="dxa" w:w="2492"/>
          </w:tcPr>
          <w:p>
            <w:pPr>
              <w:pStyle w:val="null3"/>
            </w:pPr>
            <w:r>
              <w:rPr/>
              <w:t>信用资格要求</w:t>
            </w:r>
          </w:p>
        </w:tc>
        <w:tc>
          <w:tcPr>
            <w:tcW w:type="dxa" w:w="3322"/>
          </w:tcPr>
          <w:p>
            <w:pPr>
              <w:pStyle w:val="null3"/>
            </w:pPr>
            <w:r>
              <w:rPr/>
              <w:t>供应商不得为“信用中国”网站（www.creditchina.gov.cn）中列入失信 被执行人和税收违法黑名单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t>供应商资格证明材料</w:t>
            </w:r>
          </w:p>
        </w:tc>
      </w:tr>
      <w:tr>
        <w:tc>
          <w:tcPr>
            <w:tcW w:type="dxa" w:w="831"/>
          </w:tcPr>
          <w:p>
            <w:pPr>
              <w:pStyle w:val="null3"/>
            </w:pPr>
            <w:r>
              <w:rPr/>
              <w:t>7</w:t>
            </w:r>
          </w:p>
        </w:tc>
        <w:tc>
          <w:tcPr>
            <w:tcW w:type="dxa" w:w="2492"/>
          </w:tcPr>
          <w:p>
            <w:pPr>
              <w:pStyle w:val="null3"/>
            </w:pPr>
            <w:r>
              <w:rPr/>
              <w:t>履约能力</w:t>
            </w:r>
          </w:p>
        </w:tc>
        <w:tc>
          <w:tcPr>
            <w:tcW w:type="dxa" w:w="3322"/>
          </w:tcPr>
          <w:p>
            <w:pPr>
              <w:pStyle w:val="null3"/>
            </w:pPr>
            <w:r>
              <w:rPr/>
              <w:t>提供具有履行本合同所必需的设备和专业技术能力的声明。</w:t>
            </w:r>
          </w:p>
        </w:tc>
        <w:tc>
          <w:tcPr>
            <w:tcW w:type="dxa" w:w="1661"/>
          </w:tcPr>
          <w:p>
            <w:pPr>
              <w:pStyle w:val="null3"/>
            </w:pPr>
            <w:r>
              <w:rPr/>
              <w:t>供应商资格证明材料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响应文件按竞争性磋商文件要求签署、盖章</w:t>
            </w:r>
          </w:p>
        </w:tc>
        <w:tc>
          <w:tcPr>
            <w:tcW w:type="dxa" w:w="3322"/>
          </w:tcPr>
          <w:p>
            <w:pPr>
              <w:pStyle w:val="null3"/>
            </w:pPr>
            <w:r>
              <w:rPr/>
              <w:t>响应文件按竞争性磋商文件要求签署、盖章</w:t>
            </w:r>
          </w:p>
        </w:tc>
        <w:tc>
          <w:tcPr>
            <w:tcW w:type="dxa" w:w="1661"/>
          </w:tcPr>
          <w:p>
            <w:pPr>
              <w:pStyle w:val="null3"/>
            </w:pPr>
            <w:r>
              <w:rPr/>
              <w:t>响应文件封面 供应商应提交的相关资格证明材料</w:t>
            </w:r>
          </w:p>
        </w:tc>
      </w:tr>
      <w:tr>
        <w:tc>
          <w:tcPr>
            <w:tcW w:type="dxa" w:w="831"/>
          </w:tcPr>
          <w:p>
            <w:pPr>
              <w:pStyle w:val="null3"/>
            </w:pPr>
            <w:r>
              <w:rPr/>
              <w:t>3</w:t>
            </w:r>
          </w:p>
        </w:tc>
        <w:tc>
          <w:tcPr>
            <w:tcW w:type="dxa" w:w="2492"/>
          </w:tcPr>
          <w:p>
            <w:pPr>
              <w:pStyle w:val="null3"/>
            </w:pPr>
            <w:r>
              <w:rPr/>
              <w:t>报价未超过竞争性磋商文件中规定的预算金额或者最高限价</w:t>
            </w:r>
          </w:p>
        </w:tc>
        <w:tc>
          <w:tcPr>
            <w:tcW w:type="dxa" w:w="3322"/>
          </w:tcPr>
          <w:p>
            <w:pPr>
              <w:pStyle w:val="null3"/>
            </w:pPr>
            <w:r>
              <w:rPr/>
              <w:t>报价未超过竞争性磋商文件中规定的预算金额或者最高限价</w:t>
            </w:r>
          </w:p>
        </w:tc>
        <w:tc>
          <w:tcPr>
            <w:tcW w:type="dxa" w:w="1661"/>
          </w:tcPr>
          <w:p>
            <w:pPr>
              <w:pStyle w:val="null3"/>
            </w:pPr>
            <w:r>
              <w:rPr/>
              <w:t>标的清单 报价表</w:t>
            </w:r>
          </w:p>
        </w:tc>
      </w:tr>
      <w:tr>
        <w:tc>
          <w:tcPr>
            <w:tcW w:type="dxa" w:w="831"/>
          </w:tcPr>
          <w:p>
            <w:pPr>
              <w:pStyle w:val="null3"/>
            </w:pPr>
            <w:r>
              <w:rPr/>
              <w:t>4</w:t>
            </w:r>
          </w:p>
        </w:tc>
        <w:tc>
          <w:tcPr>
            <w:tcW w:type="dxa" w:w="2492"/>
          </w:tcPr>
          <w:p>
            <w:pPr>
              <w:pStyle w:val="null3"/>
            </w:pPr>
            <w:r>
              <w:rPr/>
              <w:t>磋商响应文件不得含有采购人不能接受的附加条件并需满足本竞争性磋商文件中实质性要求。技术部分应逐条响应在服务内容及服务邀请应答表中，商务要求应逐条响应在商务应答表中。</w:t>
            </w:r>
          </w:p>
        </w:tc>
        <w:tc>
          <w:tcPr>
            <w:tcW w:type="dxa" w:w="3322"/>
          </w:tcPr>
          <w:p>
            <w:pPr>
              <w:pStyle w:val="null3"/>
            </w:pPr>
            <w:r>
              <w:rPr/>
              <w:t>磋商响应文件不得含有采购人不能接受的附加条件并需满足本竞争性磋商文件中实质性要求。技术部分应逐条响应在服务内容及服务邀请应答表中，商务要求应逐条响应在商务应答表中。</w:t>
            </w:r>
          </w:p>
        </w:tc>
        <w:tc>
          <w:tcPr>
            <w:tcW w:type="dxa" w:w="1661"/>
          </w:tcPr>
          <w:p>
            <w:pPr>
              <w:pStyle w:val="null3"/>
            </w:pPr>
            <w:r>
              <w:rPr/>
              <w:t>服务内容及服务邀请应答表 商务应答表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业绩</w:t>
            </w:r>
          </w:p>
        </w:tc>
        <w:tc>
          <w:tcPr>
            <w:tcW w:type="dxa" w:w="2492"/>
          </w:tcPr>
          <w:p>
            <w:pPr>
              <w:pStyle w:val="null3"/>
            </w:pPr>
            <w:r>
              <w:rPr/>
              <w:t>提供2020年1月1日以来提供1亿及以上类似项目业绩。以合同签订日期为准，并加盖供应商公章的合同关键页复印件为计分依据，每份合格业绩合同得2分，满分10分。（要求合同完成期限在本项目响应文件递交截止时间前，每套业绩需包含合同关键页）</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服务实施方案</w:t>
            </w:r>
          </w:p>
        </w:tc>
      </w:tr>
      <w:tr>
        <w:tc>
          <w:tcPr>
            <w:tcW w:type="dxa" w:w="831"/>
            <w:vMerge/>
          </w:tcPr>
          <w:p/>
        </w:tc>
        <w:tc>
          <w:tcPr>
            <w:tcW w:type="dxa" w:w="1661"/>
          </w:tcPr>
          <w:p>
            <w:pPr>
              <w:pStyle w:val="null3"/>
            </w:pPr>
            <w:r>
              <w:rPr/>
              <w:t>拟派项目负责人</w:t>
            </w:r>
          </w:p>
        </w:tc>
        <w:tc>
          <w:tcPr>
            <w:tcW w:type="dxa" w:w="2492"/>
          </w:tcPr>
          <w:p>
            <w:pPr>
              <w:pStyle w:val="null3"/>
            </w:pPr>
            <w:r>
              <w:rPr/>
              <w:t>1.具有工程类相关专业高级及以上职称得2分，中级职称得1分； 2项目负责人从事同行业10年及以上工作经验（以执业注册证书为准），得2分；项目负责人从事同行业5-9年工作经验（以执业注册证书为准），得1分； 项目负责人从事同行业5年(不含)以下工作经验（以执业注册证书为准），不得分； 3.根据项目负责人提供的类似项目业绩（业绩及合同含工程造价结算审核）赋分，每一份得2分，最高6分。（业绩时间以合同签订时间为准，2020年1月1日至响应文件递交截止时间前。） 备注：①项目负责人身份证、毕业证、职称证、注册证扫描件。②项目负责人业绩证明材料。业绩证明材料以完整的项目合同扫描件为准，且合同中能体现项目金额及项目负责人姓名（在该项目中担任项目负责人一职），未提供或未显示的不计分。③提供响应文件递交截止时间前6个月的社保缴纳记录。退休返聘人员不予认定。</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服务实施方案</w:t>
            </w:r>
          </w:p>
        </w:tc>
      </w:tr>
      <w:tr>
        <w:tc>
          <w:tcPr>
            <w:tcW w:type="dxa" w:w="831"/>
            <w:vMerge/>
          </w:tcPr>
          <w:p/>
        </w:tc>
        <w:tc>
          <w:tcPr>
            <w:tcW w:type="dxa" w:w="1661"/>
          </w:tcPr>
          <w:p>
            <w:pPr>
              <w:pStyle w:val="null3"/>
            </w:pPr>
            <w:r>
              <w:rPr/>
              <w:t>其他人员配备</w:t>
            </w:r>
          </w:p>
        </w:tc>
        <w:tc>
          <w:tcPr>
            <w:tcW w:type="dxa" w:w="2492"/>
          </w:tcPr>
          <w:p>
            <w:pPr>
              <w:pStyle w:val="null3"/>
            </w:pPr>
            <w:r>
              <w:rPr/>
              <w:t>针对本项目合理分配审核人员及时间，制定详细的人员配置及财力调配计划。计划全面、规范、合理，细节描述清晰，得（3-6]分；计划简略、基本合理、有简单描述，得（0- 3]分。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团队稳定性承诺</w:t>
            </w:r>
          </w:p>
        </w:tc>
        <w:tc>
          <w:tcPr>
            <w:tcW w:type="dxa" w:w="2492"/>
          </w:tcPr>
          <w:p>
            <w:pPr>
              <w:pStyle w:val="null3"/>
            </w:pPr>
            <w:r>
              <w:rPr/>
              <w:t>根据提供人员稳定性的保证措施的可行性、详细性及书面承诺，计[0-6]分。未提供不得分。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保密及廉洁从业措施</w:t>
            </w:r>
          </w:p>
        </w:tc>
        <w:tc>
          <w:tcPr>
            <w:tcW w:type="dxa" w:w="2492"/>
          </w:tcPr>
          <w:p>
            <w:pPr>
              <w:pStyle w:val="null3"/>
            </w:pPr>
            <w:r>
              <w:rPr/>
              <w:t>制度完善，措施具体，责任清晰，并提供书面保密及廉洁承诺，横向比较后按照以下原则赋分： 完全满足本项目需求，详尽具体、全面可行的得（5-7]分； 基本满足本项目需求，对于具体问题均有较为具体的叙述，基本可行的得（2-5]分； 方案不完整或不具备可行性，不能满足本项目需求的得（0-2]分。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整体咨询方案</w:t>
            </w:r>
          </w:p>
        </w:tc>
        <w:tc>
          <w:tcPr>
            <w:tcW w:type="dxa" w:w="2492"/>
          </w:tcPr>
          <w:p>
            <w:pPr>
              <w:pStyle w:val="null3"/>
            </w:pPr>
            <w:r>
              <w:rPr/>
              <w:t>具有明确的审核工作目标、工作范围（包括不限于工作内容、工作制度、质量控制、时效性措施等），能提供具体详细、可行的服务方案， 1.针对本项目编制，工作目标内容完整，各环节任务表述清晰，措施具体，责任明确，可行性强。根据详细程度计（7-10]分。 2.针对本项目编制，工作目标内容总体完整，各环节任务表述相对清晰，有较为具体的措施。方案总体可行，存在部分漏项或缺陷，根据完整程度和详细程度计（4-7]分。 3.内容空洞，属于简单的套用，可行性差，计（0-4]分。注：未提供不得分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风险控制</w:t>
            </w:r>
          </w:p>
        </w:tc>
        <w:tc>
          <w:tcPr>
            <w:tcW w:type="dxa" w:w="2492"/>
          </w:tcPr>
          <w:p>
            <w:pPr>
              <w:pStyle w:val="null3"/>
            </w:pPr>
            <w:r>
              <w:rPr/>
              <w:t>具有工程造价审核工作风险控制制度，工作重难点分析与控制措施，横向比较后按照以下原则赋分： 完全满足本项目需求，详尽具体、全面可行的得（5-7]分； 基本满足本项目需求得，对于具体问题均有较为具体的叙述，基本可行的得（2-5]分； 方案不完整或不具备可行性，不能满足本项目需求的得（0-2]分。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工作进度保证措施</w:t>
            </w:r>
          </w:p>
        </w:tc>
        <w:tc>
          <w:tcPr>
            <w:tcW w:type="dxa" w:w="2492"/>
          </w:tcPr>
          <w:p>
            <w:pPr>
              <w:pStyle w:val="null3"/>
            </w:pPr>
            <w:r>
              <w:rPr/>
              <w:t>有具体的时间计划安排，详细实施措施、进度保障思路及措施等，横向比较后按照以下原则赋分： 完全满足本项目需求，详尽合理具体、全面可行的得（5-7]分； 基本满足本项目需求得，对于具体问题均有较为具体的叙述，基本可行的得（2-5]分； 方案不完整或不具备可行性，不能满足本项目需求的得（0-2]分。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质量保障</w:t>
            </w:r>
          </w:p>
        </w:tc>
        <w:tc>
          <w:tcPr>
            <w:tcW w:type="dxa" w:w="2492"/>
          </w:tcPr>
          <w:p>
            <w:pPr>
              <w:pStyle w:val="null3"/>
            </w:pPr>
            <w:r>
              <w:rPr/>
              <w:t>具有完善的工作质量控制制度、工作内部管理制度、成果提交措施，分工明确、流程完整合理横向比较后按照以下原则赋分： 完全满足本项目需求，详尽具体、全面可行的得（5-7]分；基本满足本项目需求得，对于具体问题均有较为具体的叙述，基本可行的得（2-5]分； 方案不完整或不具备可行性，不能满足本项目需求的得（0-2]分。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资料管理</w:t>
            </w:r>
          </w:p>
        </w:tc>
        <w:tc>
          <w:tcPr>
            <w:tcW w:type="dxa" w:w="2492"/>
          </w:tcPr>
          <w:p>
            <w:pPr>
              <w:pStyle w:val="null3"/>
            </w:pPr>
            <w:r>
              <w:rPr/>
              <w:t>根据资料管理制度（包括但不限于交接、审核、保管、移交、归档等）赋分： 1.资料管理制度完善，资料处置链条完整，措施具体，责任清晰，可靠性强，根据详细程度计（5-7]分。 2.资料管理制度相对完善，资料处置链条基本完整，有基本的措施。资料管理存在部分漏项或缺陷，根据可靠程度和详细程度计[0-5]分。注：未提供不得分。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应急服务</w:t>
            </w:r>
          </w:p>
        </w:tc>
        <w:tc>
          <w:tcPr>
            <w:tcW w:type="dxa" w:w="2492"/>
          </w:tcPr>
          <w:p>
            <w:pPr>
              <w:pStyle w:val="null3"/>
            </w:pPr>
            <w:r>
              <w:rPr/>
              <w:t>针对在工作中，因特殊情况对时限的要求有特殊的应急服务承诺及措施，横向比较后按照以下原则赋分： 承诺和措施内容完善、合理、可行计（5-7]分； 承诺和措施内容基本完善合理计（0-5]分，未提供不计分。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服务实施方案</w:t>
            </w:r>
          </w:p>
        </w:tc>
      </w:tr>
      <w:tr>
        <w:tc>
          <w:tcPr>
            <w:tcW w:type="dxa" w:w="831"/>
            <w:vMerge/>
          </w:tcPr>
          <w:p/>
        </w:tc>
        <w:tc>
          <w:tcPr>
            <w:tcW w:type="dxa" w:w="1661"/>
          </w:tcPr>
          <w:p>
            <w:pPr>
              <w:pStyle w:val="null3"/>
            </w:pPr>
            <w:r>
              <w:rPr/>
              <w:t>增值服务</w:t>
            </w:r>
          </w:p>
        </w:tc>
        <w:tc>
          <w:tcPr>
            <w:tcW w:type="dxa" w:w="2492"/>
          </w:tcPr>
          <w:p>
            <w:pPr>
              <w:pStyle w:val="null3"/>
            </w:pPr>
            <w:r>
              <w:rPr/>
              <w:t>根据提供增值服务的实用性和有效性，计[0-6]分。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服务实施方案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1.审核费（绝对值金额）：供应商自主报审核费，不得超出最高限价。 满足竞争性磋商文件要求且磋商价格最低的报价为基准价，满分10分。高于评标基准价的供应商的价格分按照下列公式计算：磋商报价得分=（评标基准价/磋商报价）×价格权值×100；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详见附件：供应商资格证明材料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详见附件：服务实施方案</w:t>
      </w:r>
    </w:p>
    <w:p>
      <w:pPr>
        <w:pStyle w:val="null3"/>
        <w:ind w:firstLine="960"/>
      </w:pPr>
      <w:r>
        <w:rPr/>
        <w:t>详见附件：其他证明材料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详见附件：建设工程造价咨询合同.docx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