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版本号：HDFX-2025-Z11420250410001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2025年法律顾问服务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HDFX-2025-Z114</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2025年法律顾问服务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HDFX-2025-Z114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2025年法律顾问服务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医院是一所非营利性的二级甲等综合医院，开放床位1000张，承担着本区域100余万群众和30余万大学生的预防、医疗、保健、健康教育工作。医院始建于1949年，现有两个院区，医院位于长安区郭杜街道文苑中路120号，东院区位于韦曲街道文化街8号。 随着医院规模不断扩大和医疗法律法规的日益复杂，医院在日常运营中面临的法律风险逐渐增加。为维护医院正常的运营秩序和合法权益,确保医疗行为符合法律法规要求，降低法律风险，促进医院持续健康规范发展，拟在西安市内聘请具有一定知名度的律所提供常年法律顾问服务,为我院医疗卫生事务和医院常规经营管理事务提供全面、快捷、专业性强的法律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采购包1（法律服务）：属于专门面向中小企业采购。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1、有效的主体资格证明：具有独立承担民事责任能力的法人，其他组织或自然人，并出具合法有效的统一社会信用代码的营业执照或事业单位法人证书等国家规定的相关证明，自然人参与地提供其身份证明；</w:t>
      </w:r>
    </w:p>
    <w:p>
      <w:pPr>
        <w:pStyle w:val="null3"/>
      </w:pPr>
      <w:r>
        <w:rPr>
          <w:rFonts w:ascii="仿宋_GB2312" w:hAnsi="仿宋_GB2312" w:cs="仿宋_GB2312" w:eastAsia="仿宋_GB2312"/>
        </w:rPr>
        <w:t>2、法定代表人授权书：法定代表人授权书【附法定代表人、被授权人身份证复印件】及被授权人身份证【法定代表人参加投标只需提供本人身份证】，其他形式供应商参照法人企业执行；被授权人须提供在本单位缴纳的社保记录（近三个月内）；</w:t>
      </w:r>
    </w:p>
    <w:p>
      <w:pPr>
        <w:pStyle w:val="null3"/>
      </w:pPr>
      <w:r>
        <w:rPr>
          <w:rFonts w:ascii="仿宋_GB2312" w:hAnsi="仿宋_GB2312" w:cs="仿宋_GB2312" w:eastAsia="仿宋_GB2312"/>
        </w:rPr>
        <w:t>3、财务状况报告：提供2023年度或2024年度的审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4、社保保障资金缴纳证明：提供投标截止时间前6个月内至少一个月的社会保障资金缴存单据或社保机构开具的社会保险参保缴费情况证明，依法不需要缴纳社会保障资金的单位应提供相关证明材料；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5、税收缴纳证明：提供投标截止时间前6个月内至少一个月的纳税证明或完税证明（任意税种，个人所得税除外），依法免税的单位应提供相关证明材料；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8、履行合同的书面承诺：承诺具备履行合同所必需的设备和专业技术能力；</w:t>
      </w:r>
    </w:p>
    <w:p>
      <w:pPr>
        <w:pStyle w:val="null3"/>
      </w:pPr>
      <w:r>
        <w:rPr>
          <w:rFonts w:ascii="仿宋_GB2312" w:hAnsi="仿宋_GB2312" w:cs="仿宋_GB2312" w:eastAsia="仿宋_GB2312"/>
        </w:rPr>
        <w:t>9、资质要求：供应商应具有有效的律师事务所执业许可证；</w:t>
      </w:r>
    </w:p>
    <w:p>
      <w:pPr>
        <w:pStyle w:val="null3"/>
      </w:pPr>
      <w:r>
        <w:rPr>
          <w:rFonts w:ascii="仿宋_GB2312" w:hAnsi="仿宋_GB2312" w:cs="仿宋_GB2312" w:eastAsia="仿宋_GB2312"/>
        </w:rPr>
        <w:t>10、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11、供应商与采购人关联关系：本项目不接受由西安市长安区医院职工及其亲属投资开办的企业参加本单位的政府采购活动（提供承诺函）；</w:t>
      </w:r>
    </w:p>
    <w:p>
      <w:pPr>
        <w:pStyle w:val="null3"/>
      </w:pPr>
      <w:r>
        <w:rPr>
          <w:rFonts w:ascii="仿宋_GB2312" w:hAnsi="仿宋_GB2312" w:cs="仿宋_GB2312" w:eastAsia="仿宋_GB2312"/>
        </w:rPr>
        <w:t>12、非联合体声明函：本项目不接受联合体投标。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85910601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陕西省西安市未央区朱宏路福清商会大厦11层1101室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2、服务费参照《国家计委关于印发&lt;招标代理服务收费管理暂行办法&gt;的通知》（计价格[2002]1980号）规定收取。若本项目服务费不足5000元按5000元收取。 3、成交单位服务费交纳信息 银行户名：陕西华达峰信项目管理有限公司 开户银行：中国工商银行股份有限公司西安未央支行 账 号：3700 0340 0910 0001 556 行 号：102 791 000 525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联系人：韩飞</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地址：陕西省西安市未央区朱宏路福清商会大厦11层1101室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医院是一所非营利性的二级甲等综合医院，开放床位1000张，承担着本区域100余万群众和30余万大学生的预防、医疗、保健、健康教育工作。医院始建于1949年，现有两个院区，医院位于长安区郭杜街道文苑中路120号，东院区位于韦曲街道文化街8号。 随着医院规模不断扩大和医疗法律法规的日益复杂，医院在日常运营中面临的法律风险逐渐增加。为维护医院正常的运营秩序和合法权益,确保医疗行为符合法律法规要求，降低法律风险，促进医院持续健康规范发展，拟在西安市内聘请具有一定知名度的律所提供常年法律顾问服务,为我院医疗卫生事务和医院常规经营管理事务提供全面、快捷、专业性强的法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2025年法律顾问服务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标的名称：2025年法律顾问服务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提供法律咨询，就医院日常医疗活动、医院决策、经营管理、医疗服务中涉及的法律事务参与讨论，进行法律分析，提出法律意见和建议。</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为医疗服务管理提出法律意见，协助医院进行管理制度或医疗服务制度的建立，根据医院实际情况进行法律风险防控，从法律、法规层面规范医院医疗服务。</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对医院的临床诊断、治疗、护理、药剂及急诊等医疗行为的医疗记录、知情同意书、风险告知书等医疗文书提出法律意见。</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对可能发生的经济、民事等纠纷进行法律分析，协助医院处理各类经济或医疗纠纷，包括每起医疗纠纷提出法律意见、与相关部门或人员交涉，提供《法律建议（意见）书》、出具律师函、根据西安市城镇</w:t>
            </w:r>
            <w:r>
              <w:rPr>
                <w:rFonts w:ascii="仿宋_GB2312" w:hAnsi="仿宋_GB2312" w:cs="仿宋_GB2312" w:eastAsia="仿宋_GB2312"/>
                <w:sz w:val="24"/>
              </w:rPr>
              <w:t>/居民人均可支配收入，核算医疗损害赔偿金额；参与医疗纠纷的诉前调解、和解，提出意见和建议。</w:t>
            </w:r>
          </w:p>
          <w:p>
            <w:pPr>
              <w:pStyle w:val="null3"/>
              <w:ind w:firstLine="480"/>
              <w:jc w:val="both"/>
            </w:pPr>
            <w:r>
              <w:rPr>
                <w:rFonts w:ascii="仿宋_GB2312" w:hAnsi="仿宋_GB2312" w:cs="仿宋_GB2312" w:eastAsia="仿宋_GB2312"/>
                <w:sz w:val="24"/>
              </w:rPr>
              <w:t>（五）</w:t>
            </w:r>
            <w:r>
              <w:rPr>
                <w:rFonts w:ascii="仿宋_GB2312" w:hAnsi="仿宋_GB2312" w:cs="仿宋_GB2312" w:eastAsia="仿宋_GB2312"/>
                <w:sz w:val="24"/>
              </w:rPr>
              <w:t>进行法律知识辅导讲座和法律风险防范培训。</w:t>
            </w:r>
          </w:p>
          <w:p>
            <w:pPr>
              <w:pStyle w:val="null3"/>
              <w:ind w:firstLine="480"/>
              <w:jc w:val="both"/>
            </w:pPr>
            <w:r>
              <w:rPr>
                <w:rFonts w:ascii="仿宋_GB2312" w:hAnsi="仿宋_GB2312" w:cs="仿宋_GB2312" w:eastAsia="仿宋_GB2312"/>
                <w:sz w:val="24"/>
              </w:rPr>
              <w:t>（六）</w:t>
            </w:r>
            <w:r>
              <w:rPr>
                <w:rFonts w:ascii="仿宋_GB2312" w:hAnsi="仿宋_GB2312" w:cs="仿宋_GB2312" w:eastAsia="仿宋_GB2312"/>
                <w:sz w:val="24"/>
              </w:rPr>
              <w:t>协助医院草拟、修改、审查药品、医疗器械、医用耗材、后勤物资、信息化建设、房屋租赁、培训交流、对外合作、基建工程、修缮改建、服务购买等医院经营管理过程中涉及的各类经济合同、协议或相关法律文书，提供法律意见、并协助医院进行合同管理，监督合同的履行，降低医院风险。</w:t>
            </w:r>
          </w:p>
          <w:p>
            <w:pPr>
              <w:pStyle w:val="null3"/>
              <w:ind w:firstLine="480"/>
              <w:jc w:val="both"/>
            </w:pPr>
            <w:r>
              <w:rPr>
                <w:rFonts w:ascii="仿宋_GB2312" w:hAnsi="仿宋_GB2312" w:cs="仿宋_GB2312" w:eastAsia="仿宋_GB2312"/>
                <w:sz w:val="24"/>
              </w:rPr>
              <w:t>（七）</w:t>
            </w:r>
            <w:r>
              <w:rPr>
                <w:rFonts w:ascii="仿宋_GB2312" w:hAnsi="仿宋_GB2312" w:cs="仿宋_GB2312" w:eastAsia="仿宋_GB2312"/>
                <w:sz w:val="24"/>
              </w:rPr>
              <w:t>协助医院健全和完善人员管理制度，草拟和修改劳动合同、规章制度等，为采购人处理劳资关系提供劳动政策、劳动法律法规咨询和法律风险建议，帮助调整劳资关系，协助指导处理劳资纠纷，提供解决纠纷的法律政策依据及处理意见。</w:t>
            </w:r>
          </w:p>
          <w:p>
            <w:pPr>
              <w:pStyle w:val="null3"/>
              <w:ind w:firstLine="480"/>
              <w:jc w:val="both"/>
            </w:pPr>
            <w:r>
              <w:rPr>
                <w:rFonts w:ascii="仿宋_GB2312" w:hAnsi="仿宋_GB2312" w:cs="仿宋_GB2312" w:eastAsia="仿宋_GB2312"/>
                <w:sz w:val="24"/>
              </w:rPr>
              <w:t>（八）</w:t>
            </w:r>
            <w:r>
              <w:rPr>
                <w:rFonts w:ascii="仿宋_GB2312" w:hAnsi="仿宋_GB2312" w:cs="仿宋_GB2312" w:eastAsia="仿宋_GB2312"/>
                <w:sz w:val="24"/>
              </w:rPr>
              <w:t>为医院的商标权、专利权、著作权、商业秘密和专有经营权的保护提供法律建议，并协助制定保密制度和保密协议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（九）</w:t>
            </w:r>
            <w:r>
              <w:rPr>
                <w:rFonts w:ascii="仿宋_GB2312" w:hAnsi="仿宋_GB2312" w:cs="仿宋_GB2312" w:eastAsia="仿宋_GB2312"/>
                <w:sz w:val="24"/>
              </w:rPr>
              <w:t>参与项目考察、论证、磋商、谈判，列席重大会议，提供法律咨询和意见，进行法律分析、论证，为医院重大决策提供法律支持。</w:t>
            </w:r>
          </w:p>
          <w:p>
            <w:pPr>
              <w:pStyle w:val="null3"/>
              <w:ind w:firstLine="480"/>
              <w:jc w:val="both"/>
            </w:pPr>
            <w:r>
              <w:rPr>
                <w:rFonts w:ascii="仿宋_GB2312" w:hAnsi="仿宋_GB2312" w:cs="仿宋_GB2312" w:eastAsia="仿宋_GB2312"/>
                <w:sz w:val="24"/>
              </w:rPr>
              <w:t>（十）</w:t>
            </w:r>
            <w:r>
              <w:rPr>
                <w:rFonts w:ascii="仿宋_GB2312" w:hAnsi="仿宋_GB2312" w:cs="仿宋_GB2312" w:eastAsia="仿宋_GB2312"/>
                <w:sz w:val="24"/>
              </w:rPr>
              <w:t>接收医院委托，担任代理人，参加诉讼、非诉讼、调解、仲裁活动。</w:t>
            </w:r>
          </w:p>
          <w:p>
            <w:pPr>
              <w:pStyle w:val="null3"/>
              <w:ind w:firstLine="480"/>
              <w:jc w:val="both"/>
            </w:pPr>
            <w:r>
              <w:rPr>
                <w:rFonts w:ascii="仿宋_GB2312" w:hAnsi="仿宋_GB2312" w:cs="仿宋_GB2312" w:eastAsia="仿宋_GB2312"/>
                <w:sz w:val="24"/>
              </w:rPr>
              <w:t>（十一）为</w:t>
            </w:r>
            <w:r>
              <w:rPr>
                <w:rFonts w:ascii="仿宋_GB2312" w:hAnsi="仿宋_GB2312" w:cs="仿宋_GB2312" w:eastAsia="仿宋_GB2312"/>
                <w:sz w:val="24"/>
              </w:rPr>
              <w:t>日常运营活动及管理事宜提供其他的法律咨询服务和处理法律事务。</w:t>
            </w:r>
            <w:r>
              <w:rPr>
                <w:rFonts w:ascii="仿宋_GB2312" w:hAnsi="仿宋_GB2312" w:cs="仿宋_GB2312" w:eastAsia="仿宋_GB2312"/>
                <w:sz w:val="24"/>
              </w:rPr>
              <w:t>可支持每周</w:t>
            </w:r>
            <w:r>
              <w:rPr>
                <w:rFonts w:ascii="仿宋_GB2312" w:hAnsi="仿宋_GB2312" w:cs="仿宋_GB2312" w:eastAsia="仿宋_GB2312"/>
                <w:sz w:val="24"/>
              </w:rPr>
              <w:t>1至2次</w:t>
            </w:r>
            <w:r>
              <w:rPr>
                <w:rFonts w:ascii="仿宋_GB2312" w:hAnsi="仿宋_GB2312" w:cs="仿宋_GB2312" w:eastAsia="仿宋_GB2312"/>
                <w:sz w:val="24"/>
              </w:rPr>
              <w:t>来院坐班，面对面提供法律咨询，解决问题。</w:t>
            </w:r>
          </w:p>
          <w:p>
            <w:pPr>
              <w:pStyle w:val="null3"/>
              <w:ind w:firstLine="480"/>
              <w:jc w:val="both"/>
            </w:pPr>
            <w:r>
              <w:rPr>
                <w:rFonts w:ascii="仿宋_GB2312" w:hAnsi="仿宋_GB2312" w:cs="仿宋_GB2312" w:eastAsia="仿宋_GB2312"/>
                <w:sz w:val="24"/>
              </w:rPr>
              <w:t>（十二）协助医院进行</w:t>
            </w:r>
            <w:r>
              <w:rPr>
                <w:rFonts w:ascii="仿宋_GB2312" w:hAnsi="仿宋_GB2312" w:cs="仿宋_GB2312" w:eastAsia="仿宋_GB2312"/>
                <w:sz w:val="24"/>
              </w:rPr>
              <w:t>其他事项</w:t>
            </w:r>
            <w:r>
              <w:rPr>
                <w:rFonts w:ascii="仿宋_GB2312" w:hAnsi="仿宋_GB2312" w:cs="仿宋_GB2312" w:eastAsia="仿宋_GB2312"/>
                <w:sz w:val="24"/>
              </w:rPr>
              <w:t>处理，并对医院相关事宜</w:t>
            </w:r>
            <w:r>
              <w:rPr>
                <w:rFonts w:ascii="仿宋_GB2312" w:hAnsi="仿宋_GB2312" w:cs="仿宋_GB2312" w:eastAsia="仿宋_GB2312"/>
                <w:sz w:val="24"/>
              </w:rPr>
              <w:t>24小时响应。</w:t>
            </w:r>
          </w:p>
          <w:p>
            <w:pPr>
              <w:pStyle w:val="null3"/>
              <w:ind w:firstLine="480"/>
              <w:jc w:val="both"/>
            </w:pPr>
            <w:r>
              <w:rPr>
                <w:rFonts w:ascii="仿宋_GB2312" w:hAnsi="仿宋_GB2312" w:cs="仿宋_GB2312" w:eastAsia="仿宋_GB2312"/>
                <w:sz w:val="24"/>
              </w:rPr>
              <w:t>（十三）合同一年一签，服务期满1年后根据我院考核合格后方可续签下一年，最多不超过三年。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为日常运营活动及管理事宜提供其他的法律咨询服务和处理法律事务。可支持每周1至2次来院坐班，面对面提供法律咨询，解决问题。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1-1、合同文本、合同附件、竞争性磋商文件、竞争性磋商响应文件。 1-2、国内相应的标准、规范。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合同签订之日起，且财务入账后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服务期结束且财务入账后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争议的解决，合同执行中发生争议的，当事人双方应当协商解决，协商达不成一致时，可向当地行政仲裁机关申请仲裁或者向人民法院提起诉讼。2、合同一经签订，无特殊原因，不得擅自变更、中止或者终止合同。确需变更、调整或者中止、终止合同的，应按规定履行相应的手续。</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磋商响应文件（格式）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磋商响应文件（格式）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具有独立承担民事责任能力的法人，其他组织或自然人，并出具合法有效的统一社会信用代码的营业执照或事业单位法人证书等国家规定的相关证明，自然人参与地提供其身份证明；</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供应商参照法人企业执行；被授权人须提供在本单位缴纳的社保记录（近三个月内）；</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审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提供投标截止时间前6个月内至少一个月的社会保障资金缴存单据或社保机构开具的社会保险参保缴费情况证明，依法不需要缴纳社会保障资金的单位应提供相关证明材料；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提供投标截止时间前6个月内至少一个月的纳税证明或完税证明（任意税种，个人所得税除外），依法免税的单位应提供相关证明材料；</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承诺具备履行合同所必需的设备和专业技术能力；</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供应商应具有有效的律师事务所执业许可证；</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本项目不接受由西安市长安区医院职工及其亲属投资开办的企业参加本单位的政府采购活动（提供承诺函）；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磋商响应文件（格式）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按磋商文件格式要求加盖了供应商公章和有法定代表人或企业负责人或其授权代表签字或加盖人名章。</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遵循公平竞争的原则，没有弄虚作假、恶意串通或妨碍其他供应商的竞争行为，损害采购人或者其他供应商的合法权益；弄虚作假、相互串通的情形见附注。</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响应文件按规定的格式填写，内容完整且关键字迹清晰，符合“磋商响应文件格式”的规定。</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1、只能有一个有效报价，不得提交选择性报价，按要求提交最后报价，且不超过上一次报价或磋商小组认为低于成本价的报价。 2、供应商磋商报价不得超出采购预算金额及最高限价，否则其响应文件按无效投标处理。</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与营业执照或资质证书一致。</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磋商响应文件（格式）</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供应商组织机构设置合理，有项目负责人，有组织架构图，人员职责明确、分工安排清晰、合理。提供具体成员名单，包括姓名、工作职务、联系方式等。 人员配备齐全、分工合理、责任明确计9.1-12分； 人员配备较全、分工较合理、责任较明确计4.1-9分； 人员配备不足、分工不合理、责任不明确，计1-4分；未提供得0分。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档案管理及移交工作制度</w:t>
            </w:r>
          </w:p>
        </w:tc>
        <w:tc>
          <w:tcPr>
            <w:tcW w:type="dxa" w:w="2492"/>
          </w:tcPr>
          <w:p>
            <w:pPr>
              <w:pStyle w:val="null3"/>
            </w:pPr>
            <w:r>
              <w:rPr>
                <w:rFonts w:ascii="仿宋_GB2312" w:hAnsi="仿宋_GB2312" w:cs="仿宋_GB2312" w:eastAsia="仿宋_GB2312"/>
              </w:rPr>
              <w:t>供应商具有完善的档案资料管理和移交工作制度，制度可操作性强，具体细致，内容贴合实际。内容科学详细得7.1-10分；基本符合项目要求，内容详细合理得 4.1-7分；内容有待完善得 1-4分；未提供得0分。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供应商具有2022年1月至今类似项目业绩，提供中标通知书或合同（时间以签订的日期为准），每提供一个计2分，满分10分。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对该项目服务方案的分析和理解等进行完整、合理地阐述，针对采购人需要解决的法律类问题,有具体的服务方案，工作计划的可行性、实用性、完整性、全面性、认知深度和专业性进行综合评审。服务方案详细合理，可行性强得 10.1-15 分；实施方案较详细，可行性较强得 5.1-10 分；实施方案混乱，可行性差得 1-5 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保密制度和措施</w:t>
            </w:r>
          </w:p>
        </w:tc>
        <w:tc>
          <w:tcPr>
            <w:tcW w:type="dxa" w:w="2492"/>
          </w:tcPr>
          <w:p>
            <w:pPr>
              <w:pStyle w:val="null3"/>
            </w:pPr>
            <w:r>
              <w:rPr>
                <w:rFonts w:ascii="仿宋_GB2312" w:hAnsi="仿宋_GB2312" w:cs="仿宋_GB2312" w:eastAsia="仿宋_GB2312"/>
              </w:rPr>
              <w:t>供应商具有完善的国家法律法规规定的保密制度和措施，全面保证采购人信息不泄密，并提供保密承诺。符合项目要求，内容科学详细得 7.1-10分；基本符合项目要求，内容详细合理得 4.1-7分；能够提供一定措施， 内容有待完善得 1-4分；未提供得0分。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综合业务能力</w:t>
            </w:r>
          </w:p>
        </w:tc>
        <w:tc>
          <w:tcPr>
            <w:tcW w:type="dxa" w:w="2492"/>
          </w:tcPr>
          <w:p>
            <w:pPr>
              <w:pStyle w:val="null3"/>
            </w:pPr>
            <w:r>
              <w:rPr>
                <w:rFonts w:ascii="仿宋_GB2312" w:hAnsi="仿宋_GB2312" w:cs="仿宋_GB2312" w:eastAsia="仿宋_GB2312"/>
              </w:rPr>
              <w:t>供应商对合同、制度、法律文书等的起草、修改与审核，法律意见和建议，法律咨询指导和法律知识培训调解、仲裁或诉讼案件的处理能力，按其响应程度计1-5分；未提供得0分。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供应商具有完善的服务保障措施，包括组织机构保障、拟投入的财力物力保障等，且内容详实、有效，切实可行。 保障方案完善、切实可行计7.1-10分； 保障方案较完善、可行度较高计4.1-7分； 保障方案不足计1-4分；未提供得0分。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供应商根据服务范围和内容要求开展工作，并及时反馈、回复信息，提出合理的意见和建议，实施工作内容主动沟通、汇报。应对措施及相关的合理化建议针对性强，详细科学，具有可操作性得 6.1-8 分；针对性较强，较合理，具有一定的可操作性得 3.1-6 分；基本可行，措施有待完善得 1-3 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价格分统一采用低价优先法计算，即满足磋商文件要求且最后磋商报价最低的磋商报价为磋商基准价，其价格分为满分。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