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长安区地质灾害“隐患点+风险区”双控工作技术服务(二次)</w:t>
      </w:r>
    </w:p>
    <w:p>
      <w:pPr>
        <w:pStyle w:val="null3"/>
        <w:jc w:val="center"/>
        <w:outlineLvl w:val="2"/>
      </w:pPr>
      <w:r>
        <w:rPr>
          <w:sz w:val="28"/>
          <w:b/>
        </w:rPr>
        <w:t>采购项目编号：</w:t>
      </w:r>
      <w:r>
        <w:rPr>
          <w:sz w:val="28"/>
          <w:b/>
        </w:rPr>
        <w:t>SZT2024-SN-QC-ZC-FW-0787（2）</w:t>
      </w:r>
      <w:r>
        <w:br/>
      </w:r>
      <w:r>
        <w:br/>
      </w:r>
      <w:r>
        <w:br/>
      </w:r>
    </w:p>
    <w:p>
      <w:pPr>
        <w:pStyle w:val="null3"/>
        <w:jc w:val="center"/>
        <w:outlineLvl w:val="2"/>
      </w:pPr>
      <w:r>
        <w:rPr>
          <w:sz w:val="28"/>
          <w:b/>
        </w:rPr>
        <w:t>西安市自然资源和规划局长安分局矿产资源管理站</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西安市自然资源和规划局长安分局矿产资源管理站</w:t>
      </w:r>
      <w:r>
        <w:rPr/>
        <w:t>委托，拟对</w:t>
      </w:r>
      <w:r>
        <w:rPr/>
        <w:t>长安区地质灾害“隐患点+风险区”双控工作技术服务(二次)</w:t>
      </w:r>
      <w:r>
        <w:rPr/>
        <w:t>采用竞争性磋商采购方式进行采购，兹邀请供应商参加本项目的竞争性磋商。</w:t>
      </w:r>
    </w:p>
    <w:p>
      <w:pPr>
        <w:pStyle w:val="null3"/>
        <w:outlineLvl w:val="2"/>
      </w:pPr>
      <w:r>
        <w:rPr>
          <w:sz w:val="28"/>
          <w:b/>
        </w:rPr>
        <w:t>一、项目编号：</w:t>
      </w:r>
      <w:r>
        <w:rPr>
          <w:sz w:val="28"/>
          <w:b/>
        </w:rPr>
        <w:t>SZT2024-SN-QC-ZC-FW-0787（2）</w:t>
      </w:r>
    </w:p>
    <w:p>
      <w:pPr>
        <w:pStyle w:val="null3"/>
        <w:outlineLvl w:val="2"/>
      </w:pPr>
      <w:r>
        <w:rPr>
          <w:sz w:val="28"/>
          <w:b/>
        </w:rPr>
        <w:t>二、项目名称：</w:t>
      </w:r>
      <w:r>
        <w:rPr>
          <w:sz w:val="28"/>
          <w:b/>
        </w:rPr>
        <w:t>长安区地质灾害“隐患点+风险区”双控工作技术服务(二次)</w:t>
      </w:r>
    </w:p>
    <w:p>
      <w:pPr>
        <w:pStyle w:val="null3"/>
        <w:outlineLvl w:val="2"/>
      </w:pPr>
      <w:r>
        <w:rPr>
          <w:sz w:val="28"/>
          <w:b/>
        </w:rPr>
        <w:t>三、磋商项目简介</w:t>
      </w:r>
    </w:p>
    <w:p>
      <w:pPr>
        <w:pStyle w:val="null3"/>
        <w:ind w:firstLine="480"/>
      </w:pPr>
      <w:r>
        <w:rPr/>
        <w:t>本项目为西安市自然资源和规划局长安分局矿产资源管理站长安区地质灾害“隐患点+风险区"双控工作技术服务。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采购包1（长安区地质灾害 隐患点+风险区 双控工作技术服务）：属于专门面向中小企业采购。</w:t>
      </w:r>
    </w:p>
    <w:p>
      <w:pPr>
        <w:pStyle w:val="null3"/>
        <w:ind w:firstLine="480"/>
      </w:pPr>
      <w:r>
        <w:rPr/>
        <w:t>（三）本项目的特定资格要求：</w:t>
      </w:r>
    </w:p>
    <w:p>
      <w:pPr>
        <w:pStyle w:val="null3"/>
      </w:pPr>
      <w:r>
        <w:rPr/>
        <w:t>采购包1：</w:t>
      </w:r>
    </w:p>
    <w:p>
      <w:pPr>
        <w:pStyle w:val="null3"/>
      </w:pPr>
      <w:r>
        <w:rPr/>
        <w:t>1、法定代表人授权委托要求：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供应商需在项目电子化交易系统中按要求上传相应证明文件并进行电子签章。</w:t>
      </w:r>
    </w:p>
    <w:p>
      <w:pPr>
        <w:pStyle w:val="null3"/>
      </w:pPr>
      <w:r>
        <w:rPr/>
        <w:t>2、供应商资质要求：供应商须具备地质灾害评估和治理工程勘查设计资质甲级资质。供应商需在项目电子化交易系统中按要求上传相应证明文件并进行电子签章。</w:t>
      </w:r>
    </w:p>
    <w:p>
      <w:pPr>
        <w:pStyle w:val="null3"/>
      </w:pPr>
      <w:r>
        <w:rPr/>
        <w:t>3、本项目专门面向中小企业采购：仅限符合《政府采购促进中小企业发展办法》（财库〔2020〕46 号）条件的中小企业参与，投标人应填写中小企业声明函并对真实性负责。</w:t>
      </w:r>
    </w:p>
    <w:p>
      <w:pPr>
        <w:pStyle w:val="null3"/>
      </w:pPr>
      <w:r>
        <w:rPr/>
        <w:t>4、联合体相关要求：本项目不接受联合体投标，不得分包、转包。 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西安市自然资源和规划局长安分局矿产资源管理站</w:t>
      </w:r>
    </w:p>
    <w:p>
      <w:pPr>
        <w:pStyle w:val="null3"/>
      </w:pPr>
      <w:r>
        <w:rPr/>
        <w:t xml:space="preserve"> 地址： </w:t>
      </w:r>
      <w:r>
        <w:rPr/>
        <w:t>长安区西长安街79号</w:t>
      </w:r>
    </w:p>
    <w:p>
      <w:pPr>
        <w:pStyle w:val="null3"/>
      </w:pPr>
      <w:r>
        <w:rPr/>
        <w:t xml:space="preserve"> 邮编： </w:t>
      </w:r>
      <w:r>
        <w:rPr/>
        <w:t>/</w:t>
      </w:r>
    </w:p>
    <w:p>
      <w:pPr>
        <w:pStyle w:val="null3"/>
      </w:pPr>
      <w:r>
        <w:rPr/>
        <w:t xml:space="preserve"> 联系人： </w:t>
      </w:r>
      <w:r>
        <w:rPr/>
        <w:t>张老师</w:t>
      </w:r>
    </w:p>
    <w:p>
      <w:pPr>
        <w:pStyle w:val="null3"/>
      </w:pPr>
      <w:r>
        <w:rPr/>
        <w:t xml:space="preserve"> 联系电话： </w:t>
      </w:r>
      <w:r>
        <w:rPr/>
        <w:t>029-85295468</w:t>
      </w:r>
    </w:p>
    <w:p>
      <w:pPr>
        <w:pStyle w:val="null3"/>
        <w:outlineLvl w:val="3"/>
      </w:pPr>
      <w:r>
        <w:rPr>
          <w:sz w:val="24"/>
          <w:b/>
        </w:rPr>
        <w:t>代理机构：</w:t>
      </w:r>
      <w:r>
        <w:rPr>
          <w:sz w:val="24"/>
          <w:b/>
        </w:rPr>
        <w:t>陕西中技招标有限公司</w:t>
      </w:r>
    </w:p>
    <w:p>
      <w:pPr>
        <w:pStyle w:val="null3"/>
      </w:pPr>
      <w:r>
        <w:rPr/>
        <w:t xml:space="preserve"> 地址： </w:t>
      </w:r>
      <w:r>
        <w:rPr/>
        <w:t>西安市高新区高新四路 1 号高科广场 A1001 室</w:t>
      </w:r>
    </w:p>
    <w:p>
      <w:pPr>
        <w:pStyle w:val="null3"/>
      </w:pPr>
      <w:r>
        <w:rPr/>
        <w:t xml:space="preserve"> 邮编： </w:t>
      </w:r>
      <w:r>
        <w:rPr/>
        <w:t>/</w:t>
      </w:r>
    </w:p>
    <w:p>
      <w:pPr>
        <w:pStyle w:val="null3"/>
      </w:pPr>
      <w:r>
        <w:rPr/>
        <w:t xml:space="preserve"> 联系人： </w:t>
      </w:r>
      <w:r>
        <w:rPr/>
        <w:t>杨艳、沈肖楠、史肖霞、单博</w:t>
      </w:r>
    </w:p>
    <w:p>
      <w:pPr>
        <w:pStyle w:val="null3"/>
      </w:pPr>
      <w:r>
        <w:rPr/>
        <w:t xml:space="preserve"> 联系电话： </w:t>
      </w:r>
      <w:r>
        <w:rPr/>
        <w:t>029-88364979-821</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采购包1：920,000.00元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开户银行：招商银行西安分行营业部 银行账号：129916812810001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西安市自然资源和规划局长安分局矿产资源管理站</w:t>
      </w:r>
      <w:r>
        <w:rPr/>
        <w:t>和</w:t>
      </w:r>
      <w:r>
        <w:rPr/>
        <w:t>陕西中技招标有限公司</w:t>
      </w:r>
      <w:r>
        <w:rPr/>
        <w:t>享有。对磋商文件中供应商参加本次政府采购活动应当具备的条件，磋商项目技术、服务、商务及其他要求，评审细则及标准由</w:t>
      </w:r>
      <w:r>
        <w:rPr/>
        <w:t>西安市自然资源和规划局长安分局矿产资源管理站</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西安市自然资源和规划局长安分局矿产资源管理站</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国家相应的标准、规范</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本项目为西安市自然资源和规划局长安分局矿产资源管理站长安区地质灾害“隐患点+风险区"双控工作技术服务。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920,000.00</w:t>
      </w:r>
    </w:p>
    <w:p>
      <w:pPr>
        <w:pStyle w:val="null3"/>
      </w:pPr>
      <w:r>
        <w:rPr/>
        <w:t>采购包最高限价（元）: 920,000.00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地质灾害“隐患点+风险区”双控工作技术服务</w:t>
            </w:r>
          </w:p>
        </w:tc>
        <w:tc>
          <w:tcPr>
            <w:tcW w:type="dxa" w:w="831"/>
          </w:tcPr>
          <w:p>
            <w:pPr>
              <w:pStyle w:val="null3"/>
              <w:jc w:val="right"/>
            </w:pPr>
            <w:r>
              <w:rPr/>
              <w:t>1.00</w:t>
            </w:r>
          </w:p>
        </w:tc>
        <w:tc>
          <w:tcPr>
            <w:tcW w:type="dxa" w:w="831"/>
          </w:tcPr>
          <w:p>
            <w:pPr>
              <w:pStyle w:val="null3"/>
              <w:jc w:val="right"/>
            </w:pPr>
            <w:r>
              <w:rPr/>
              <w:t>920,000.00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标的名称：地质灾害“隐患点+风险区”双控工作技术服务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一、任务来源</w:t>
            </w:r>
          </w:p>
          <w:p>
            <w:pPr>
              <w:pStyle w:val="null3"/>
            </w:pPr>
            <w:r>
              <w:rPr>
                <w:rFonts w:ascii="calibri" w:hAnsi="calibri" w:cs="calibri" w:eastAsia="calibri"/>
                <w:sz w:val="21"/>
              </w:rPr>
              <w:t>按照《</w:t>
            </w:r>
            <w:r>
              <w:rPr>
                <w:rFonts w:ascii="calibri" w:hAnsi="calibri" w:cs="calibri" w:eastAsia="calibri"/>
                <w:sz w:val="21"/>
              </w:rPr>
              <w:t>陕西省自然资源厅关于推进地质灾害“隐患点+风险区”双控工作的通知》[陕自然资勘发〔2023〕59号]、《西安市地质灾害防治工作领导小组办公室关于进一步核实地质灾害风险隐患排查成果信息的通知》工作安排，下达长安区446地质灾害风险区，按照省厅和市局双控管理措施要求，完成长安区地质灾害“隐患点+风险区”双控工作。</w:t>
            </w:r>
          </w:p>
          <w:p>
            <w:pPr>
              <w:pStyle w:val="null3"/>
            </w:pPr>
            <w:r>
              <w:rPr>
                <w:rFonts w:ascii="calibri" w:hAnsi="calibri" w:cs="calibri" w:eastAsia="calibri"/>
                <w:sz w:val="21"/>
              </w:rPr>
              <w:t>二、工作目标</w:t>
            </w:r>
          </w:p>
          <w:p>
            <w:pPr>
              <w:pStyle w:val="null3"/>
            </w:pPr>
            <w:r>
              <w:rPr>
                <w:rFonts w:ascii="calibri" w:hAnsi="calibri" w:cs="calibri" w:eastAsia="calibri"/>
                <w:sz w:val="21"/>
              </w:rPr>
              <w:t>依据《陕西省自然资源厅关于推进地质灾害“隐患点+风险区”双控工作的通知》[陕自然资勘发〔2023〕59号]提出的工作要求，确定本次双控工作的主要目标是核实清楚长安区地质灾害隐患点、地质灾害风险区底数。核实清楚隐患点及风险区的范围、威胁对象、致灾体、承灾体范围等，并针对性提出每个风险区的防抢撤预案。</w:t>
            </w:r>
          </w:p>
          <w:p>
            <w:pPr>
              <w:pStyle w:val="null3"/>
            </w:pPr>
            <w:r>
              <w:rPr>
                <w:rFonts w:ascii="calibri" w:hAnsi="calibri" w:cs="calibri" w:eastAsia="calibri"/>
                <w:sz w:val="21"/>
              </w:rPr>
              <w:t>三、工作任务</w:t>
            </w:r>
          </w:p>
          <w:p>
            <w:pPr>
              <w:pStyle w:val="null3"/>
            </w:pPr>
            <w:r>
              <w:rPr>
                <w:rFonts w:ascii="calibri" w:hAnsi="calibri" w:cs="calibri" w:eastAsia="calibri"/>
                <w:sz w:val="21"/>
              </w:rPr>
              <w:t>在充分收集已有资料的基础上，以地面调查、无人机航拍、测绘为主要手段，开展长安区双控工作。查明在册地质灾害隐患点位置坐标、致灾体、承灾体范围、变形裂缝以及坡体失稳后可能的运动方向等，在陕西省地质灾害防治信息平台逐点实体勾绘，并与风险区彼此独立；核准地质灾害风险区边界范围、威胁对象等基本信息，野外核查后，通过陕西省地质灾害防治信息平台精细化调整风险区边界，包括对风险区进行新增、合并、剥离、删除等操作，填报风险区基本信息；核实极高、高、中风险区的基本信息和受威胁对象，建立地质灾害风险区管控清单；针对地质灾害隐患点和风险区的受威胁群众，建立地质灾害转移避险人员清单，隐患点要在原有“防抢撤”预案基础上，进一步明确撤离条件；风险区要明确转移对象、撤离条件、预警信号、盯撤责任人、转移撤离路线、避险场所等内容；协助分局在区政府的统一领导下，指导街道办，以行政村为单元，建立区、街办、村组、群测群防员（巡查员）4级责任体系，压实地质灾害“隐患点+风险区”双控责任。</w:t>
            </w:r>
          </w:p>
          <w:p>
            <w:pPr>
              <w:pStyle w:val="null3"/>
            </w:pPr>
            <w:r>
              <w:rPr>
                <w:rFonts w:ascii="calibri" w:hAnsi="calibri" w:cs="calibri" w:eastAsia="calibri"/>
                <w:sz w:val="21"/>
              </w:rPr>
              <w:t>四、工作内容</w:t>
            </w:r>
          </w:p>
          <w:p>
            <w:pPr>
              <w:pStyle w:val="null3"/>
            </w:pPr>
            <w:r>
              <w:rPr>
                <w:rFonts w:ascii="calibri" w:hAnsi="calibri" w:cs="calibri" w:eastAsia="calibri"/>
                <w:sz w:val="21"/>
              </w:rPr>
              <w:t>（一）在册隐患点</w:t>
            </w:r>
          </w:p>
          <w:p>
            <w:pPr>
              <w:pStyle w:val="null3"/>
            </w:pPr>
            <w:r>
              <w:rPr>
                <w:rFonts w:ascii="calibri" w:hAnsi="calibri" w:cs="calibri" w:eastAsia="calibri"/>
                <w:sz w:val="21"/>
              </w:rPr>
              <w:t>1.地面调查：逐个隐患点进行野外调查，调查隐患点现状。</w:t>
            </w:r>
          </w:p>
          <w:p>
            <w:pPr>
              <w:pStyle w:val="null3"/>
            </w:pPr>
            <w:r>
              <w:rPr>
                <w:rFonts w:ascii="calibri" w:hAnsi="calibri" w:cs="calibri" w:eastAsia="calibri"/>
                <w:sz w:val="21"/>
              </w:rPr>
              <w:t>2.基本信息核实：核实隐患点承灾体基本信息，调查核实每个威胁对象姓名、年龄、身份证号码、电话等信息。</w:t>
            </w:r>
          </w:p>
          <w:p>
            <w:pPr>
              <w:pStyle w:val="null3"/>
            </w:pPr>
            <w:r>
              <w:rPr>
                <w:rFonts w:ascii="calibri" w:hAnsi="calibri" w:cs="calibri" w:eastAsia="calibri"/>
                <w:sz w:val="21"/>
              </w:rPr>
              <w:t>3.位置核实：核实隐患点地理位置及坐标。</w:t>
            </w:r>
          </w:p>
          <w:p>
            <w:pPr>
              <w:pStyle w:val="null3"/>
            </w:pPr>
            <w:r>
              <w:rPr>
                <w:rFonts w:ascii="calibri" w:hAnsi="calibri" w:cs="calibri" w:eastAsia="calibri"/>
                <w:sz w:val="21"/>
              </w:rPr>
              <w:t>4.明白卡设计：设计隐患点工作明白卡、避险明白卡，包括隐患点基本信息、避险撤离信号、避险撤离路线、避险撤离场所、医疗救护单位、隐患点全景图等。</w:t>
            </w:r>
          </w:p>
          <w:p>
            <w:pPr>
              <w:pStyle w:val="null3"/>
            </w:pPr>
            <w:r>
              <w:rPr>
                <w:rFonts w:ascii="calibri" w:hAnsi="calibri" w:cs="calibri" w:eastAsia="calibri"/>
                <w:sz w:val="21"/>
              </w:rPr>
              <w:t>5.陕西省地质灾害防治信息平台实体勾绘：在陕西省地质灾害防治信息平台实体勾绘隐患点，包括致灾体、承灾体范围、变形裂缝以及坡体失稳后可能的运动方向等。</w:t>
            </w:r>
          </w:p>
          <w:p>
            <w:pPr>
              <w:pStyle w:val="null3"/>
            </w:pPr>
            <w:r>
              <w:rPr>
                <w:rFonts w:ascii="calibri" w:hAnsi="calibri" w:cs="calibri" w:eastAsia="calibri"/>
                <w:sz w:val="21"/>
              </w:rPr>
              <w:t>6.更新隐患点警示牌：按照省厅的模板更新隐患点警示牌，明确隐患点基本信息、责任体系、隐患点全景图（包含致灾体、承灾体、撤离路线等勾绘信息）。</w:t>
            </w:r>
          </w:p>
          <w:p>
            <w:pPr>
              <w:pStyle w:val="null3"/>
            </w:pPr>
            <w:r>
              <w:rPr>
                <w:rFonts w:ascii="calibri" w:hAnsi="calibri" w:cs="calibri" w:eastAsia="calibri"/>
                <w:sz w:val="21"/>
              </w:rPr>
              <w:t>（二）风险区</w:t>
            </w:r>
          </w:p>
          <w:p>
            <w:pPr>
              <w:pStyle w:val="null3"/>
            </w:pPr>
            <w:r>
              <w:rPr>
                <w:rFonts w:ascii="calibri" w:hAnsi="calibri" w:cs="calibri" w:eastAsia="calibri"/>
                <w:sz w:val="21"/>
              </w:rPr>
              <w:t>1.地面调查：对地质灾害风险区逐个进行野外调查，调查核实风险区现状。</w:t>
            </w:r>
          </w:p>
          <w:p>
            <w:pPr>
              <w:pStyle w:val="null3"/>
            </w:pPr>
            <w:r>
              <w:rPr>
                <w:rFonts w:ascii="calibri" w:hAnsi="calibri" w:cs="calibri" w:eastAsia="calibri"/>
                <w:sz w:val="21"/>
              </w:rPr>
              <w:t>2.风险区范围核定：核定风险区范围，划定边界，并进行新增、删除、合并。</w:t>
            </w:r>
          </w:p>
          <w:p>
            <w:pPr>
              <w:pStyle w:val="null3"/>
            </w:pPr>
            <w:r>
              <w:rPr>
                <w:rFonts w:ascii="calibri" w:hAnsi="calibri" w:cs="calibri" w:eastAsia="calibri"/>
                <w:sz w:val="21"/>
              </w:rPr>
              <w:t>3.建立风险区管控清单：核实极高、高、中风险区的基本信息和受威胁对象，包括户数、人数、房屋间数、房屋结构等，建立地质灾害风险区管控清单。</w:t>
            </w:r>
          </w:p>
          <w:p>
            <w:pPr>
              <w:pStyle w:val="null3"/>
            </w:pPr>
            <w:r>
              <w:rPr>
                <w:rFonts w:ascii="calibri" w:hAnsi="calibri" w:cs="calibri" w:eastAsia="calibri"/>
                <w:sz w:val="21"/>
              </w:rPr>
              <w:t>4.建立转移避险人员清单：针对风险区的受威胁群众，建立地质灾害转移避险人员清单，明确转移对象、撤离条件、预警信号、盯撤责任人、转移撤离路线、避险场所等。</w:t>
            </w:r>
          </w:p>
          <w:p>
            <w:pPr>
              <w:pStyle w:val="null3"/>
            </w:pPr>
            <w:r>
              <w:rPr>
                <w:rFonts w:ascii="calibri" w:hAnsi="calibri" w:cs="calibri" w:eastAsia="calibri"/>
                <w:sz w:val="21"/>
              </w:rPr>
              <w:t>5.陕西省地质灾害防治信息平台完善风险区信息、精细化调整风险区边界：在陕西省地质灾害防治信息平台完善风险区位置、坐标范围、威胁对象信息等信息，对风险区进行新增、合并、剥离、删除等操作。</w:t>
            </w:r>
          </w:p>
          <w:p>
            <w:pPr>
              <w:pStyle w:val="null3"/>
            </w:pPr>
            <w:r>
              <w:rPr>
                <w:rFonts w:ascii="calibri" w:hAnsi="calibri" w:cs="calibri" w:eastAsia="calibri"/>
                <w:sz w:val="21"/>
              </w:rPr>
              <w:t>6.制作风险区明白卡：根据地质灾害转移避险人员清单，编制地质灾害风险区“防抢撤”预案，制作发放地质灾害转移避险明白卡。</w:t>
            </w:r>
          </w:p>
          <w:p>
            <w:pPr>
              <w:pStyle w:val="null3"/>
            </w:pPr>
            <w:r>
              <w:rPr>
                <w:rFonts w:ascii="calibri" w:hAnsi="calibri" w:cs="calibri" w:eastAsia="calibri"/>
                <w:sz w:val="21"/>
              </w:rPr>
              <w:t>7.制作风险区警示牌：在醒目位置设立地质灾害隐患点、风险区警示牌，公开撤离条件、预警信号、转移撤离路线、避险场所、应急联系方式等重要信息。</w:t>
            </w:r>
          </w:p>
          <w:p>
            <w:pPr>
              <w:pStyle w:val="null3"/>
            </w:pPr>
            <w:r>
              <w:rPr>
                <w:rFonts w:ascii="calibri" w:hAnsi="calibri" w:cs="calibri" w:eastAsia="calibri"/>
                <w:sz w:val="21"/>
              </w:rPr>
              <w:t>（三）建立“隐患点+风险区”双控责任体系</w:t>
            </w:r>
          </w:p>
          <w:p>
            <w:pPr>
              <w:pStyle w:val="null3"/>
            </w:pPr>
            <w:r>
              <w:rPr>
                <w:rFonts w:ascii="calibri" w:hAnsi="calibri" w:cs="calibri" w:eastAsia="calibri"/>
                <w:sz w:val="21"/>
              </w:rPr>
              <w:t>协助甲方，指导街办，以行政村为单元，建立县、乡、村、群测群防员（巡查员）4级责任体系，压实地质灾害“隐患点+风险区”双控责任。区级责任人负责组织、协调、指导、监督“隐患点+风险区”双控工作，指挥灾险情现场处置；街办责任人负责指导村（社区）开展“隐患点+风险区”双控工作，根据地质灾害气象预报预警信息，发布转移避险命令；村（社区）责任人负责管理考核隐患点群测群防员、风险区巡查员，紧急情况下发布转移避险命令，组织开展“隐患点+风险区”日常管控和转移避险工作。</w:t>
            </w:r>
          </w:p>
          <w:p>
            <w:pPr>
              <w:pStyle w:val="null3"/>
            </w:pPr>
            <w:r>
              <w:rPr>
                <w:rFonts w:ascii="calibri" w:hAnsi="calibri" w:cs="calibri" w:eastAsia="calibri"/>
                <w:sz w:val="21"/>
              </w:rPr>
              <w:t>五、工期安排</w:t>
            </w:r>
          </w:p>
          <w:p>
            <w:pPr>
              <w:pStyle w:val="null3"/>
            </w:pPr>
            <w:r>
              <w:rPr>
                <w:rFonts w:ascii="calibri" w:hAnsi="calibri" w:cs="calibri" w:eastAsia="calibri"/>
                <w:sz w:val="21"/>
              </w:rPr>
              <w:t>要求90天内完成所有工作内容。</w:t>
            </w:r>
          </w:p>
          <w:p>
            <w:pPr>
              <w:pStyle w:val="null3"/>
            </w:pPr>
            <w:r>
              <w:rPr>
                <w:rFonts w:ascii="calibri" w:hAnsi="calibri" w:cs="calibri" w:eastAsia="calibri"/>
                <w:sz w:val="21"/>
              </w:rPr>
              <w:t>六、提交成果</w:t>
            </w:r>
          </w:p>
          <w:p>
            <w:pPr>
              <w:pStyle w:val="null3"/>
            </w:pPr>
            <w:r>
              <w:rPr>
                <w:rFonts w:ascii="calibri" w:hAnsi="calibri" w:cs="calibri" w:eastAsia="calibri"/>
                <w:sz w:val="21"/>
              </w:rPr>
              <w:t>1、按省市要求完成陕西省地质灾害防治信息平台相关工作内容。</w:t>
            </w:r>
          </w:p>
          <w:p>
            <w:pPr>
              <w:pStyle w:val="null3"/>
            </w:pPr>
            <w:r>
              <w:rPr>
                <w:rFonts w:ascii="calibri" w:hAnsi="calibri" w:cs="calibri" w:eastAsia="calibri"/>
                <w:sz w:val="21"/>
              </w:rPr>
              <w:t>2、提交地质灾害风险区管控清单。</w:t>
            </w:r>
          </w:p>
          <w:p>
            <w:pPr>
              <w:pStyle w:val="null3"/>
            </w:pPr>
            <w:r>
              <w:rPr>
                <w:rFonts w:ascii="calibri" w:hAnsi="calibri" w:cs="calibri" w:eastAsia="calibri"/>
                <w:sz w:val="21"/>
              </w:rPr>
              <w:t>3、提交地质灾害风险区转移避险人员清单、避险明白卡。</w:t>
            </w:r>
          </w:p>
          <w:p>
            <w:pPr>
              <w:pStyle w:val="null3"/>
            </w:pPr>
            <w:r>
              <w:rPr>
                <w:rFonts w:ascii="calibri" w:hAnsi="calibri" w:cs="calibri" w:eastAsia="calibri"/>
                <w:sz w:val="21"/>
              </w:rPr>
              <w:t>4、提交地质灾害风险区“防抢撤”预案。</w:t>
            </w:r>
          </w:p>
          <w:p>
            <w:pPr>
              <w:pStyle w:val="null3"/>
            </w:pPr>
            <w:r>
              <w:rPr>
                <w:rFonts w:ascii="calibri" w:hAnsi="calibri" w:cs="calibri" w:eastAsia="calibri"/>
                <w:sz w:val="21"/>
              </w:rPr>
              <w:t>5、提交地质灾害风险区转移避险明白卡。</w:t>
            </w:r>
          </w:p>
          <w:p>
            <w:pPr>
              <w:pStyle w:val="null3"/>
            </w:pPr>
            <w:r>
              <w:rPr>
                <w:rFonts w:ascii="calibri" w:hAnsi="calibri" w:cs="calibri" w:eastAsia="calibri"/>
                <w:sz w:val="21"/>
              </w:rPr>
              <w:t>6、提交地质灾害“隐患点+风险区”双控责任体系。</w:t>
            </w:r>
          </w:p>
          <w:p>
            <w:pPr>
              <w:pStyle w:val="null3"/>
            </w:pPr>
            <w:r>
              <w:rPr>
                <w:rFonts w:ascii="calibri" w:hAnsi="calibri" w:cs="calibri" w:eastAsia="calibri"/>
                <w:sz w:val="21"/>
              </w:rPr>
              <w:t>7、提交更新的隐患点警示牌、新设立的风险区警示牌影像资料。</w:t>
            </w: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达到服务要求所必须的设备</w:t>
      </w:r>
    </w:p>
    <w:p>
      <w:pPr>
        <w:pStyle w:val="null3"/>
        <w:outlineLvl w:val="2"/>
      </w:pPr>
      <w:r>
        <w:rPr>
          <w:sz w:val="28"/>
          <w:b/>
        </w:rPr>
        <w:t>3.2.5其他要求</w:t>
      </w:r>
    </w:p>
    <w:p>
      <w:pPr>
        <w:pStyle w:val="null3"/>
      </w:pPr>
      <w:r>
        <w:rPr/>
        <w:t>采购包1：</w:t>
      </w:r>
    </w:p>
    <w:p>
      <w:pPr>
        <w:pStyle w:val="null3"/>
      </w:pPr>
      <w:r>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90个日历日内完成</w:t>
      </w:r>
    </w:p>
    <w:p>
      <w:pPr>
        <w:pStyle w:val="null3"/>
        <w:outlineLvl w:val="3"/>
      </w:pPr>
      <w:r>
        <w:rPr>
          <w:sz w:val="24"/>
          <w:b/>
        </w:rPr>
        <w:t>3.3.2服务地点</w:t>
      </w:r>
    </w:p>
    <w:p>
      <w:pPr>
        <w:pStyle w:val="null3"/>
      </w:pPr>
      <w:r>
        <w:rPr/>
        <w:t>采购包1：</w:t>
      </w:r>
    </w:p>
    <w:p>
      <w:pPr>
        <w:pStyle w:val="null3"/>
      </w:pPr>
      <w:r>
        <w:rPr/>
        <w:t>采购人的指定地点</w:t>
      </w:r>
    </w:p>
    <w:p>
      <w:pPr>
        <w:pStyle w:val="null3"/>
        <w:outlineLvl w:val="3"/>
      </w:pPr>
      <w:r>
        <w:rPr>
          <w:sz w:val="24"/>
          <w:b/>
        </w:rPr>
        <w:t>3.3.3考核（验收）标准和方法</w:t>
      </w:r>
    </w:p>
    <w:p>
      <w:pPr>
        <w:pStyle w:val="null3"/>
      </w:pPr>
      <w:r>
        <w:rPr/>
        <w:t>采购包1：</w:t>
      </w:r>
    </w:p>
    <w:p>
      <w:pPr>
        <w:pStyle w:val="null3"/>
      </w:pPr>
      <w:r>
        <w:rPr/>
        <w:t>国家相应的标准、规范</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70.00</w:t>
      </w:r>
      <w:r>
        <w:rPr/>
        <w:t>%。</w:t>
      </w:r>
    </w:p>
    <w:p>
      <w:pPr>
        <w:pStyle w:val="null3"/>
      </w:pPr>
      <w:r>
        <w:rPr/>
        <w:t>采购包1：</w:t>
      </w:r>
      <w:r>
        <w:rPr/>
        <w:t xml:space="preserve"> 付款条件说明： </w:t>
      </w:r>
      <w:r>
        <w:rPr/>
        <w:t>项目全部完结验收通过后</w:t>
      </w:r>
      <w:r>
        <w:rPr/>
        <w:t xml:space="preserve"> ，达到付款条件起 </w:t>
      </w:r>
      <w:r>
        <w:rPr/>
        <w:t>30</w:t>
      </w:r>
      <w:r>
        <w:rPr/>
        <w:t xml:space="preserve"> 日内，支付合同总金额的 </w:t>
      </w:r>
      <w:r>
        <w:rPr/>
        <w:t>30.00</w:t>
      </w:r>
      <w:r>
        <w:rPr/>
        <w:t>%。</w:t>
      </w:r>
    </w:p>
    <w:p>
      <w:pPr>
        <w:pStyle w:val="null3"/>
        <w:outlineLvl w:val="3"/>
      </w:pPr>
      <w:r>
        <w:rPr>
          <w:sz w:val="24"/>
          <w:b/>
        </w:rPr>
        <w:t>3.3.6违约责任及解决争议的方法</w:t>
      </w:r>
    </w:p>
    <w:p>
      <w:pPr>
        <w:pStyle w:val="null3"/>
      </w:pPr>
      <w:r>
        <w:rPr/>
        <w:t>采购包1：</w:t>
      </w:r>
    </w:p>
    <w:p>
      <w:pPr>
        <w:pStyle w:val="null3"/>
      </w:pPr>
      <w:r>
        <w:rPr/>
        <w:t>详见采购合同</w:t>
      </w:r>
    </w:p>
    <w:p>
      <w:pPr>
        <w:pStyle w:val="null3"/>
        <w:outlineLvl w:val="2"/>
      </w:pPr>
      <w:r>
        <w:rPr>
          <w:sz w:val="28"/>
          <w:b/>
        </w:rPr>
        <w:t>3.4其他要求</w:t>
      </w:r>
    </w:p>
    <w:p>
      <w:pPr>
        <w:pStyle w:val="null3"/>
      </w:pPr>
      <w:r>
        <w:rPr/>
        <w:t>详见服务要求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的财务审计报告（成立时间至提交响应文件截止时间不足一年的可提供成立后任意时段的资产负债表），或其开标前三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年内在经营活动中没有重大违法记录的书面声明（格式详见附件）。供应商需在项目电子化交易系统中按要求上传相应证明文件并进行电子签章。</w:t>
            </w:r>
          </w:p>
        </w:tc>
        <w:tc>
          <w:tcPr>
            <w:tcW w:type="dxa" w:w="1661"/>
          </w:tcPr>
          <w:p>
            <w:pPr>
              <w:pStyle w:val="null3"/>
            </w:pPr>
            <w:r>
              <w:rPr/>
              <w:t>响应函 供应商资格证明文件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经审计的财务审计报告（成立时间至提交响应文件截止时间不足一年的可提供成立后任意时段的资产负债表），或其开标前三个月内银行出具的资信证明，或财政部门认可的政府采购专业担保机构出具的投标担保函 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供应商参加政府采购活动承诺书 响应函 供应商资格证明文件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 供应商资格证明文件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法定代表人授权委托要求</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供应商资质要求</w:t>
            </w:r>
          </w:p>
        </w:tc>
        <w:tc>
          <w:tcPr>
            <w:tcW w:type="dxa" w:w="3322"/>
          </w:tcPr>
          <w:p>
            <w:pPr>
              <w:pStyle w:val="null3"/>
            </w:pPr>
            <w:r>
              <w:rPr/>
              <w:t>供应商须具备地质灾害评估和治理工程勘查设计资质甲级资质。供应商需在项目电子化交易系统中按要求上传相应证明文件并进行电子签章。</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残疾人福利性单位声明函 中小企业声明函 监狱企业的证明文件 供应商资格证明文件</w:t>
            </w:r>
          </w:p>
        </w:tc>
      </w:tr>
      <w:tr>
        <w:tc>
          <w:tcPr>
            <w:tcW w:type="dxa" w:w="831"/>
          </w:tcPr>
          <w:p>
            <w:pPr>
              <w:pStyle w:val="null3"/>
            </w:pPr>
            <w:r>
              <w:rPr/>
              <w:t>4</w:t>
            </w:r>
          </w:p>
        </w:tc>
        <w:tc>
          <w:tcPr>
            <w:tcW w:type="dxa" w:w="2492"/>
          </w:tcPr>
          <w:p>
            <w:pPr>
              <w:pStyle w:val="null3"/>
            </w:pPr>
            <w:r>
              <w:rPr/>
              <w:t>联合体相关要求</w:t>
            </w:r>
          </w:p>
        </w:tc>
        <w:tc>
          <w:tcPr>
            <w:tcW w:type="dxa" w:w="3322"/>
          </w:tcPr>
          <w:p>
            <w:pPr>
              <w:pStyle w:val="null3"/>
            </w:pPr>
            <w:r>
              <w:rPr/>
              <w:t>本项目不接受联合体投标，不得分包、转包。 供应商需在项目电子化交易系统中按要求上传相应证明文件并进行电子签章。</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服务期是否响应</w:t>
            </w:r>
          </w:p>
        </w:tc>
        <w:tc>
          <w:tcPr>
            <w:tcW w:type="dxa" w:w="3322"/>
          </w:tcPr>
          <w:p>
            <w:pPr>
              <w:pStyle w:val="null3"/>
            </w:pPr>
            <w:r>
              <w:rPr/>
              <w:t>服务期是否按磋商文件要求响应</w:t>
            </w:r>
          </w:p>
        </w:tc>
        <w:tc>
          <w:tcPr>
            <w:tcW w:type="dxa" w:w="1661"/>
          </w:tcPr>
          <w:p>
            <w:pPr>
              <w:pStyle w:val="null3"/>
            </w:pPr>
            <w:r>
              <w:rPr/>
              <w:t>商务要求偏离表 开标记录表</w:t>
            </w:r>
          </w:p>
        </w:tc>
      </w:tr>
      <w:tr>
        <w:tc>
          <w:tcPr>
            <w:tcW w:type="dxa" w:w="831"/>
          </w:tcPr>
          <w:p>
            <w:pPr>
              <w:pStyle w:val="null3"/>
            </w:pPr>
            <w:r>
              <w:rPr/>
              <w:t>3</w:t>
            </w:r>
          </w:p>
        </w:tc>
        <w:tc>
          <w:tcPr>
            <w:tcW w:type="dxa" w:w="2492"/>
          </w:tcPr>
          <w:p>
            <w:pPr>
              <w:pStyle w:val="null3"/>
            </w:pPr>
            <w:r>
              <w:rPr/>
              <w:t>付款方式是否响应</w:t>
            </w:r>
          </w:p>
        </w:tc>
        <w:tc>
          <w:tcPr>
            <w:tcW w:type="dxa" w:w="3322"/>
          </w:tcPr>
          <w:p>
            <w:pPr>
              <w:pStyle w:val="null3"/>
            </w:pPr>
            <w:r>
              <w:rPr/>
              <w:t>付款方式是否响应磋商文件的要求</w:t>
            </w:r>
          </w:p>
        </w:tc>
        <w:tc>
          <w:tcPr>
            <w:tcW w:type="dxa" w:w="1661"/>
          </w:tcPr>
          <w:p>
            <w:pPr>
              <w:pStyle w:val="null3"/>
            </w:pPr>
            <w:r>
              <w:rPr/>
              <w:t>商务要求偏离表 开标记录表</w:t>
            </w:r>
          </w:p>
        </w:tc>
      </w:tr>
      <w:tr>
        <w:tc>
          <w:tcPr>
            <w:tcW w:type="dxa" w:w="831"/>
          </w:tcPr>
          <w:p>
            <w:pPr>
              <w:pStyle w:val="null3"/>
            </w:pPr>
            <w:r>
              <w:rPr/>
              <w:t>4</w:t>
            </w:r>
          </w:p>
        </w:tc>
        <w:tc>
          <w:tcPr>
            <w:tcW w:type="dxa" w:w="2492"/>
          </w:tcPr>
          <w:p>
            <w:pPr>
              <w:pStyle w:val="null3"/>
            </w:pPr>
            <w:r>
              <w:rPr/>
              <w:t>磋商报价是否超过采购预算或最高限价</w:t>
            </w:r>
          </w:p>
        </w:tc>
        <w:tc>
          <w:tcPr>
            <w:tcW w:type="dxa" w:w="3322"/>
          </w:tcPr>
          <w:p>
            <w:pPr>
              <w:pStyle w:val="null3"/>
            </w:pPr>
            <w:r>
              <w:rPr/>
              <w:t>磋商报价是否超过采购预算或最高限价</w:t>
            </w:r>
          </w:p>
        </w:tc>
        <w:tc>
          <w:tcPr>
            <w:tcW w:type="dxa" w:w="1661"/>
          </w:tcPr>
          <w:p>
            <w:pPr>
              <w:pStyle w:val="null3"/>
            </w:pPr>
            <w:r>
              <w:rPr/>
              <w:t>分项报价表 开标记录表 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整体工作方案</w:t>
            </w:r>
          </w:p>
        </w:tc>
        <w:tc>
          <w:tcPr>
            <w:tcW w:type="dxa" w:w="2492"/>
          </w:tcPr>
          <w:p>
            <w:pPr>
              <w:pStyle w:val="null3"/>
            </w:pPr>
            <w:r>
              <w:rPr/>
              <w:t>整体工作方案内容全面，完全结合实际。满分5分。每有一项内容缺陷按缺陷程度扣0.5-1分，直至本项分扣完为止。内容缺陷是指：内容有所缺失、理解不够深刻、现状不够熟悉、各项指标把握情况不够准确、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对项目区域的认知</w:t>
            </w:r>
          </w:p>
        </w:tc>
        <w:tc>
          <w:tcPr>
            <w:tcW w:type="dxa" w:w="2492"/>
          </w:tcPr>
          <w:p>
            <w:pPr>
              <w:pStyle w:val="null3"/>
            </w:pPr>
            <w:r>
              <w:rPr/>
              <w:t>供应商出具对项目所在区域的地质情况出具分析报告，报告应完整详尽，具备针对性，问题点研判合理，表述清晰明确。满分5分；每有一项内容缺陷按缺陷程度扣0.5-1分，直至本项分扣完为止。内容缺陷是指：表述不够清楚、重点不够突出、应用性不强、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现状解析</w:t>
            </w:r>
          </w:p>
        </w:tc>
        <w:tc>
          <w:tcPr>
            <w:tcW w:type="dxa" w:w="2492"/>
          </w:tcPr>
          <w:p>
            <w:pPr>
              <w:pStyle w:val="null3"/>
            </w:pPr>
            <w:r>
              <w:rPr/>
              <w:t>针对主要内容与任务中现状问题识别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投标人认为有必要说明的其他资料</w:t>
            </w:r>
          </w:p>
          <w:p>
            <w:pPr>
              <w:pStyle w:val="null3"/>
            </w:pPr>
            <w:r>
              <w:rPr/>
              <w:t>服务方案</w:t>
            </w:r>
          </w:p>
        </w:tc>
      </w:tr>
      <w:tr>
        <w:tc>
          <w:tcPr>
            <w:tcW w:type="dxa" w:w="831"/>
            <w:vMerge/>
          </w:tcPr>
          <w:p/>
        </w:tc>
        <w:tc>
          <w:tcPr>
            <w:tcW w:type="dxa" w:w="1661"/>
          </w:tcPr>
          <w:p>
            <w:pPr>
              <w:pStyle w:val="null3"/>
            </w:pPr>
            <w:r>
              <w:rPr/>
              <w:t>任务目标分解</w:t>
            </w:r>
          </w:p>
        </w:tc>
        <w:tc>
          <w:tcPr>
            <w:tcW w:type="dxa" w:w="2492"/>
          </w:tcPr>
          <w:p>
            <w:pPr>
              <w:pStyle w:val="null3"/>
            </w:pPr>
            <w:r>
              <w:rPr/>
              <w:t>针对主要内容与任务中目标分解内容全面，编制思路清晰、针对性强，符合发展需要，具有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提升策略</w:t>
            </w:r>
          </w:p>
        </w:tc>
        <w:tc>
          <w:tcPr>
            <w:tcW w:type="dxa" w:w="2492"/>
          </w:tcPr>
          <w:p>
            <w:pPr>
              <w:pStyle w:val="null3"/>
            </w:pPr>
            <w:r>
              <w:rPr/>
              <w:t>针对主要内容与任务中提升策略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实施管控</w:t>
            </w:r>
          </w:p>
        </w:tc>
        <w:tc>
          <w:tcPr>
            <w:tcW w:type="dxa" w:w="2492"/>
          </w:tcPr>
          <w:p>
            <w:pPr>
              <w:pStyle w:val="null3"/>
            </w:pPr>
            <w:r>
              <w:rPr/>
              <w:t>针对主要内容与任务中实施管控内容全面，编制思路清晰、针对性强，符合发展需要，具有前瞻性和可操作性。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合理化建议</w:t>
            </w:r>
          </w:p>
        </w:tc>
        <w:tc>
          <w:tcPr>
            <w:tcW w:type="dxa" w:w="2492"/>
          </w:tcPr>
          <w:p>
            <w:pPr>
              <w:pStyle w:val="null3"/>
            </w:pPr>
            <w:r>
              <w:rPr/>
              <w:t>针对本项目合理化建议行之有效、分析透彻，满分5分；每有一项内容缺陷按缺陷程度扣0.5-1分，直至本项分扣完为止。内容缺陷是指：内容不够详实合理、理解不够深刻、现状不够熟悉、建议不够合理、全面、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重难点分析</w:t>
            </w:r>
          </w:p>
        </w:tc>
        <w:tc>
          <w:tcPr>
            <w:tcW w:type="dxa" w:w="2492"/>
          </w:tcPr>
          <w:p>
            <w:pPr>
              <w:pStyle w:val="null3"/>
            </w:pPr>
            <w:r>
              <w:rPr/>
              <w:t>对项目实施过程中的重点、难点分析及解决方案，供应商根据本项目的实际情况，提出有针对性的关键点分析及解决方案，且关键点分析准确，解决方案得当，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进度安排及成果交付计划</w:t>
            </w:r>
          </w:p>
        </w:tc>
        <w:tc>
          <w:tcPr>
            <w:tcW w:type="dxa" w:w="2492"/>
          </w:tcPr>
          <w:p>
            <w:pPr>
              <w:pStyle w:val="null3"/>
            </w:pPr>
            <w:r>
              <w:rPr/>
              <w:t>供应商针对本项目招标内容有明确的进度安排，合理的成果交付时限且进度安排科学合理，完全满足需求，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项目负责人</w:t>
            </w:r>
          </w:p>
        </w:tc>
        <w:tc>
          <w:tcPr>
            <w:tcW w:type="dxa" w:w="2492"/>
          </w:tcPr>
          <w:p>
            <w:pPr>
              <w:pStyle w:val="null3"/>
            </w:pPr>
            <w:r>
              <w:rPr/>
              <w:t>项目负责人具备地质工程，水文地质，岩土工程等相关专业本科及以上学历得5分，未提供或专业不符不得分。 项目负责人具备水工环专业高级工程师的得5分，具备水工环专业中级工程师的得2分，缺项或专业不符不得分。 （提供人员有效证书复印件及磋商时间前6个月内在本单位缴纳的任意一个月的社保证明，加盖公章）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拟投入项目负责人简历表</w:t>
            </w:r>
          </w:p>
        </w:tc>
      </w:tr>
      <w:tr>
        <w:tc>
          <w:tcPr>
            <w:tcW w:type="dxa" w:w="831"/>
            <w:vMerge/>
          </w:tcPr>
          <w:p/>
        </w:tc>
        <w:tc>
          <w:tcPr>
            <w:tcW w:type="dxa" w:w="1661"/>
          </w:tcPr>
          <w:p>
            <w:pPr>
              <w:pStyle w:val="null3"/>
            </w:pPr>
            <w:r>
              <w:rPr/>
              <w:t>项目团队人员</w:t>
            </w:r>
          </w:p>
        </w:tc>
        <w:tc>
          <w:tcPr>
            <w:tcW w:type="dxa" w:w="2492"/>
          </w:tcPr>
          <w:p>
            <w:pPr>
              <w:pStyle w:val="null3"/>
            </w:pPr>
            <w:r>
              <w:rPr/>
              <w:t>专业人员配备合理、全面、满足项目需求，人员分工、岗位职责明确等。 1、根据人员架构的设置情况是否充分，是否具备与本项目相关的专业技术能力，根据人员配备情况进行赋分，满分4分； 2、根据拟派团队人员的专业技术能力进行赋分，满分3分； 3、根据供应商提供的针对本项目团队人员岗位划分是否清晰，职责是否明确进行赋分，满分3分。 以上各项内容每有一项内容缺陷的扣0.5- 1分，直至本项分扣完为止。内容缺陷是指：存在不适用项目实际情况的情形、人员安排不当、配合服务计划不合理、人员经验不足等。</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拟配备团队情况</w:t>
            </w:r>
          </w:p>
        </w:tc>
      </w:tr>
      <w:tr>
        <w:tc>
          <w:tcPr>
            <w:tcW w:type="dxa" w:w="831"/>
            <w:vMerge/>
          </w:tcPr>
          <w:p/>
        </w:tc>
        <w:tc>
          <w:tcPr>
            <w:tcW w:type="dxa" w:w="1661"/>
          </w:tcPr>
          <w:p>
            <w:pPr>
              <w:pStyle w:val="null3"/>
            </w:pPr>
            <w:r>
              <w:rPr/>
              <w:t>项目进度承诺</w:t>
            </w:r>
          </w:p>
        </w:tc>
        <w:tc>
          <w:tcPr>
            <w:tcW w:type="dxa" w:w="2492"/>
          </w:tcPr>
          <w:p>
            <w:pPr>
              <w:pStyle w:val="null3"/>
            </w:pPr>
            <w:r>
              <w:rPr/>
              <w:t>对采购内容的相关进度要求、时限要求、报告编制成果要求等做出承诺，承诺全面，满足要求，保障有力，满分5分；每有一项内容缺陷按缺陷程度扣0.5-1分，直至本项分扣完为止。内容缺陷是指：承诺不够全面、思路不够清晰、针对性不强、表述不够清楚、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p>
            <w:pPr>
              <w:pStyle w:val="null3"/>
            </w:pPr>
            <w:r>
              <w:rPr/>
              <w:t>投标人认为有必要说明的其他资料</w:t>
            </w:r>
          </w:p>
        </w:tc>
      </w:tr>
      <w:tr>
        <w:tc>
          <w:tcPr>
            <w:tcW w:type="dxa" w:w="831"/>
            <w:vMerge/>
          </w:tcPr>
          <w:p/>
        </w:tc>
        <w:tc>
          <w:tcPr>
            <w:tcW w:type="dxa" w:w="1661"/>
          </w:tcPr>
          <w:p>
            <w:pPr>
              <w:pStyle w:val="null3"/>
            </w:pPr>
            <w:r>
              <w:rPr/>
              <w:t>质量保证体系</w:t>
            </w:r>
          </w:p>
        </w:tc>
        <w:tc>
          <w:tcPr>
            <w:tcW w:type="dxa" w:w="2492"/>
          </w:tcPr>
          <w:p>
            <w:pPr>
              <w:pStyle w:val="null3"/>
            </w:pPr>
            <w:r>
              <w:rPr/>
              <w:t>供应商质量保证体系合理完善，质量控制程序科学合理，具有针对性和可行性，能有效保障报告编制质量。满分5分。每有一项内容缺陷的扣0.5-1分，直至本项分扣完为止。内容缺陷是指：保证体系不够完善、控制程序不够科学、针对性和可行性不够、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投标人认为有必要说明的其他资料</w:t>
            </w:r>
          </w:p>
        </w:tc>
      </w:tr>
      <w:tr>
        <w:tc>
          <w:tcPr>
            <w:tcW w:type="dxa" w:w="831"/>
            <w:vMerge/>
          </w:tcPr>
          <w:p/>
        </w:tc>
        <w:tc>
          <w:tcPr>
            <w:tcW w:type="dxa" w:w="1661"/>
          </w:tcPr>
          <w:p>
            <w:pPr>
              <w:pStyle w:val="null3"/>
            </w:pPr>
            <w:r>
              <w:rPr/>
              <w:t>后续服务承诺</w:t>
            </w:r>
          </w:p>
        </w:tc>
        <w:tc>
          <w:tcPr>
            <w:tcW w:type="dxa" w:w="2492"/>
          </w:tcPr>
          <w:p>
            <w:pPr>
              <w:pStyle w:val="null3"/>
            </w:pPr>
            <w:r>
              <w:rPr/>
              <w:t>对报告编制后期服务相关内容做出承诺，后续服务安排及保障全面可行，满分5分；每有一项内容缺陷按缺陷程度扣0.5-1分，直至本项分扣完为止。内容缺陷是指：内容不够详实合理、思路不够清晰、针对性不强、表述不够清楚、不符合项目实际情况等。</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服务承诺书</w:t>
            </w:r>
          </w:p>
        </w:tc>
      </w:tr>
      <w:tr>
        <w:tc>
          <w:tcPr>
            <w:tcW w:type="dxa" w:w="831"/>
            <w:vMerge/>
          </w:tcPr>
          <w:p/>
        </w:tc>
        <w:tc>
          <w:tcPr>
            <w:tcW w:type="dxa" w:w="1661"/>
          </w:tcPr>
          <w:p>
            <w:pPr>
              <w:pStyle w:val="null3"/>
            </w:pPr>
            <w:r>
              <w:rPr/>
              <w:t>业绩</w:t>
            </w:r>
          </w:p>
        </w:tc>
        <w:tc>
          <w:tcPr>
            <w:tcW w:type="dxa" w:w="2492"/>
          </w:tcPr>
          <w:p>
            <w:pPr>
              <w:pStyle w:val="null3"/>
            </w:pPr>
            <w:r>
              <w:rPr/>
              <w:t>根据各供应商提供的2021年1月1日至今类似项目业绩合同，时间以合同签订的日期为准，每一个有效业绩得2分。满分10分。（合同复印件加盖公章附在响应文件中，否则不做为评审依据）</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满足磋商文件要求且最后的磋商报价最低的投标价为评标基准价，其价格分为满分。 磋商报价得分=（评审基准价/磋商报价）×价格权值×100。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分项报价表</w:t>
            </w:r>
          </w:p>
          <w:p>
            <w:pPr>
              <w:pStyle w:val="null3"/>
            </w:pPr>
            <w:r>
              <w:rPr/>
              <w:t>开标记录表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详见附件：服务承诺书</w:t>
      </w:r>
    </w:p>
    <w:p>
      <w:pPr>
        <w:pStyle w:val="null3"/>
        <w:ind w:firstLine="960"/>
      </w:pPr>
      <w:r>
        <w:rPr/>
        <w:t>详见附件：服务方案</w:t>
      </w:r>
    </w:p>
    <w:p>
      <w:pPr>
        <w:pStyle w:val="null3"/>
        <w:ind w:firstLine="960"/>
      </w:pPr>
      <w:r>
        <w:rPr/>
        <w:t>详见附件：供应商参加政府采购活动承诺书</w:t>
      </w:r>
    </w:p>
    <w:p>
      <w:pPr>
        <w:pStyle w:val="null3"/>
        <w:ind w:firstLine="960"/>
      </w:pPr>
      <w:r>
        <w:rPr/>
        <w:t>详见附件：开标记录表</w:t>
      </w:r>
    </w:p>
    <w:p>
      <w:pPr>
        <w:pStyle w:val="null3"/>
        <w:ind w:firstLine="960"/>
      </w:pPr>
      <w:r>
        <w:rPr/>
        <w:t>详见附件：商务要求偏离表</w:t>
      </w:r>
    </w:p>
    <w:p>
      <w:pPr>
        <w:pStyle w:val="null3"/>
        <w:ind w:firstLine="960"/>
      </w:pPr>
      <w:r>
        <w:rPr/>
        <w:t>详见附件：拟投入项目负责人简历表</w:t>
      </w:r>
    </w:p>
    <w:p>
      <w:pPr>
        <w:pStyle w:val="null3"/>
        <w:ind w:firstLine="960"/>
      </w:pPr>
      <w:r>
        <w:rPr/>
        <w:t>详见附件：拟配备团队情况</w:t>
      </w:r>
    </w:p>
    <w:p>
      <w:pPr>
        <w:pStyle w:val="null3"/>
        <w:ind w:firstLine="960"/>
      </w:pPr>
      <w:r>
        <w:rPr/>
        <w:t>详见附件：投标人认为有必要说明的其他资料</w:t>
      </w:r>
    </w:p>
    <w:p>
      <w:pPr>
        <w:pStyle w:val="null3"/>
        <w:ind w:firstLine="960"/>
      </w:pPr>
      <w:r>
        <w:rPr/>
        <w:t>详见附件：供应商资格证明文件</w:t>
      </w:r>
    </w:p>
    <w:p>
      <w:pPr>
        <w:pStyle w:val="null3"/>
        <w:ind w:firstLine="960"/>
      </w:pPr>
      <w:r>
        <w:rPr/>
        <w:t>详见附件：类似项目业绩一览表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