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仿宋" w:hAnsi="仿宋" w:eastAsia="仿宋"/>
        </w:rPr>
      </w:pPr>
      <w:bookmarkStart w:id="0" w:name="_Toc85019468"/>
      <w:bookmarkStart w:id="1" w:name="_Toc27391"/>
      <w:bookmarkStart w:id="2" w:name="_Toc102769683"/>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2955473"/>
      <w:bookmarkStart w:id="4" w:name="_Toc497712147"/>
      <w:bookmarkStart w:id="5" w:name="_Toc497551834"/>
      <w:bookmarkStart w:id="6" w:name="_Toc497711599"/>
      <w:bookmarkStart w:id="7" w:name="_Toc497546932"/>
      <w:bookmarkStart w:id="8" w:name="_Toc233435994"/>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具有良好的商业信誉和健全的财务会计制度，提供2023年度经审计的财务审计报告（成立时间至提交响应文件截止时间不足一年的可提供成立后任意时段的资产负债表），或其开标前三个月内银行出具的资信证明，或财政部门认可的政府采购专业担保机构出具的投标担保函；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3、具有履行合同所必需的设备和专业技术能力的书面声明（格式详见附件）；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4、有依法缴纳税收和社会保障资金的良好记录（提供开标前12个月内任一月份的社保和缴纳税收的证明，依法不需要缴纳社会保障资金、免税或无须缴纳税款的供应商，应提供相关证明文件)； </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 3 年内在经营活动中没有重大违法记录的书面声明（格式详见附件）。</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1、</w:t>
      </w:r>
      <w:r>
        <w:rPr>
          <w:rFonts w:hint="eastAsia" w:ascii="仿宋" w:hAnsi="仿宋" w:eastAsia="仿宋"/>
          <w:bCs/>
          <w:iCs/>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2、供应商须具备地质灾害评估和治理工程勘查设计资质甲级资质。</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3、本项目为专门面向中小企业采购仅限符合《政府采购促进中小企业发展办法》（财库〔2020〕46 号）条件的中小企业参与，投标人应填写中小企业声明函并对真实性负责。</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本项目不接受联合体投标，不得分包、转包。</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3"/>
        <w:spacing w:line="240" w:lineRule="auto"/>
        <w:rPr>
          <w:rFonts w:ascii="仿宋" w:hAnsi="仿宋" w:eastAsia="仿宋"/>
          <w:bCs/>
          <w:iCs/>
          <w:sz w:val="24"/>
          <w:szCs w:val="24"/>
        </w:rPr>
      </w:pPr>
      <w:r>
        <w:rPr>
          <w:rFonts w:hint="eastAsia" w:ascii="仿宋" w:hAnsi="仿宋" w:eastAsia="仿宋"/>
          <w:bCs/>
          <w:iCs/>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pPr>
        <w:widowControl/>
        <w:jc w:val="left"/>
        <w:rPr>
          <w:rFonts w:ascii="仿宋" w:hAnsi="仿宋" w:eastAsia="仿宋"/>
          <w:bCs/>
          <w:iCs/>
          <w:sz w:val="24"/>
          <w:szCs w:val="24"/>
        </w:rPr>
      </w:pPr>
      <w:r>
        <w:rPr>
          <w:rFonts w:ascii="仿宋" w:hAnsi="仿宋" w:eastAsia="仿宋"/>
          <w:b/>
          <w:bCs/>
          <w:iCs/>
          <w:sz w:val="24"/>
          <w:szCs w:val="24"/>
        </w:rPr>
        <w:br w:type="page"/>
      </w:r>
    </w:p>
    <w:p>
      <w:pPr>
        <w:pStyle w:val="3"/>
        <w:spacing w:line="240" w:lineRule="auto"/>
        <w:rPr>
          <w:rFonts w:hint="eastAsia" w:ascii="仿宋" w:hAnsi="仿宋" w:eastAsia="仿宋" w:cs="Times New Roman"/>
          <w:b/>
          <w:bCs w:val="0"/>
          <w:iCs/>
          <w:sz w:val="24"/>
          <w:szCs w:val="24"/>
        </w:rPr>
      </w:pPr>
      <w:bookmarkStart w:id="10" w:name="_Toc85019471"/>
      <w:bookmarkStart w:id="11" w:name="_Toc428"/>
      <w:bookmarkStart w:id="12" w:name="_Toc102769686"/>
      <w:r>
        <w:rPr>
          <w:rFonts w:hint="eastAsia" w:ascii="仿宋" w:hAnsi="仿宋" w:eastAsia="仿宋" w:cs="Times New Roman"/>
          <w:b/>
          <w:bCs w:val="0"/>
          <w:iCs/>
          <w:sz w:val="24"/>
          <w:szCs w:val="24"/>
        </w:rPr>
        <w:t xml:space="preserve">具有良好的商业信誉和健全的财务会计制度，提供2023年度经审计的财务审计报告（成立时间至提交响应文件截止时间不足一年的可提供成立后任意时段的资产负债表），或其开标前三个月内银行出具的资信证明，或财政部门认可的政府采购专业担保机构出具的投标担保函；  </w:t>
      </w:r>
    </w:p>
    <w:p>
      <w:pPr>
        <w:bidi w:val="0"/>
        <w:rPr>
          <w:rFonts w:ascii="仿宋" w:hAnsi="仿宋" w:eastAsia="仿宋"/>
          <w:bCs/>
          <w:iCs/>
          <w:szCs w:val="24"/>
        </w:rPr>
      </w:pPr>
      <w:r>
        <w:br w:type="page"/>
      </w:r>
      <w:bookmarkStart w:id="23" w:name="_GoBack"/>
      <w:bookmarkEnd w:id="23"/>
    </w:p>
    <w:p>
      <w:pPr>
        <w:pStyle w:val="3"/>
        <w:spacing w:line="240" w:lineRule="auto"/>
        <w:rPr>
          <w:rFonts w:ascii="仿宋" w:hAnsi="仿宋" w:eastAsia="仿宋"/>
          <w:b/>
          <w:bCs w:val="0"/>
          <w:iCs/>
          <w:sz w:val="24"/>
          <w:szCs w:val="24"/>
        </w:rPr>
      </w:pPr>
      <w:bookmarkStart w:id="13" w:name="_Toc105617042"/>
      <w:bookmarkStart w:id="14" w:name="_Toc14970"/>
      <w:r>
        <w:rPr>
          <w:rFonts w:hint="eastAsia" w:ascii="仿宋" w:hAnsi="仿宋" w:eastAsia="仿宋"/>
          <w:b/>
          <w:bCs w:val="0"/>
          <w:iCs/>
          <w:sz w:val="24"/>
          <w:szCs w:val="24"/>
        </w:rPr>
        <w:t>具有履行合同所必需的设备和专业技术能力</w:t>
      </w:r>
      <w:bookmarkEnd w:id="13"/>
      <w:bookmarkEnd w:id="14"/>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4"/>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4"/>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0"/>
    <w:bookmarkEnd w:id="11"/>
    <w:bookmarkEnd w:id="12"/>
    <w:p>
      <w:pPr>
        <w:pStyle w:val="3"/>
        <w:spacing w:line="240" w:lineRule="auto"/>
        <w:rPr>
          <w:rFonts w:ascii="仿宋" w:hAnsi="仿宋" w:eastAsia="仿宋"/>
          <w:b/>
          <w:bCs w:val="0"/>
          <w:iCs/>
          <w:sz w:val="24"/>
          <w:szCs w:val="24"/>
        </w:rPr>
      </w:pPr>
      <w:bookmarkStart w:id="15" w:name="_Toc18157"/>
      <w:bookmarkStart w:id="16" w:name="_Toc105617043"/>
      <w:bookmarkStart w:id="17" w:name="_Toc85019473"/>
      <w:bookmarkStart w:id="18" w:name="_Toc85019472"/>
      <w:r>
        <w:rPr>
          <w:rFonts w:hint="eastAsia" w:ascii="仿宋" w:hAnsi="仿宋" w:eastAsia="仿宋"/>
          <w:b/>
          <w:bCs w:val="0"/>
          <w:iCs/>
          <w:sz w:val="24"/>
          <w:szCs w:val="24"/>
        </w:rPr>
        <w:t>具有依法缴纳税收和社会保障资金的良好记录</w:t>
      </w:r>
      <w:bookmarkEnd w:id="15"/>
      <w:bookmarkEnd w:id="16"/>
    </w:p>
    <w:p>
      <w:pPr>
        <w:rPr>
          <w:rFonts w:ascii="仿宋" w:hAnsi="仿宋" w:eastAsia="仿宋"/>
          <w:bCs/>
          <w:iCs/>
          <w:sz w:val="24"/>
          <w:szCs w:val="24"/>
        </w:rPr>
      </w:pPr>
      <w:r>
        <w:rPr>
          <w:rFonts w:hint="eastAsia" w:ascii="仿宋" w:hAnsi="仿宋" w:eastAsia="仿宋"/>
          <w:bCs/>
          <w:iCs/>
          <w:sz w:val="24"/>
          <w:szCs w:val="24"/>
        </w:rPr>
        <w:t>同时提供</w:t>
      </w:r>
      <w:r>
        <w:rPr>
          <w:rFonts w:hint="eastAsia" w:ascii="仿宋" w:hAnsi="仿宋" w:eastAsia="仿宋"/>
          <w:bCs/>
          <w:iCs/>
          <w:sz w:val="24"/>
          <w:szCs w:val="24"/>
          <w:lang w:val="en-US" w:eastAsia="zh-CN"/>
        </w:rPr>
        <w:t>开标</w:t>
      </w:r>
      <w:r>
        <w:rPr>
          <w:rFonts w:hint="eastAsia" w:ascii="仿宋" w:hAnsi="仿宋" w:eastAsia="仿宋"/>
          <w:bCs/>
          <w:iCs/>
          <w:sz w:val="24"/>
          <w:szCs w:val="24"/>
        </w:rPr>
        <w:t>前</w:t>
      </w:r>
      <w:r>
        <w:rPr>
          <w:rFonts w:ascii="仿宋" w:hAnsi="仿宋" w:eastAsia="仿宋"/>
          <w:bCs/>
          <w:iCs/>
          <w:sz w:val="24"/>
          <w:szCs w:val="24"/>
        </w:rPr>
        <w:t>12</w:t>
      </w:r>
      <w:r>
        <w:rPr>
          <w:rFonts w:hint="eastAsia" w:ascii="仿宋" w:hAnsi="仿宋" w:eastAsia="仿宋"/>
          <w:bCs/>
          <w:iCs/>
          <w:sz w:val="24"/>
          <w:szCs w:val="24"/>
        </w:rPr>
        <w:t>个月内缴存的任意时段的</w:t>
      </w:r>
      <w:r>
        <w:rPr>
          <w:rFonts w:hint="eastAsia" w:ascii="仿宋" w:hAnsi="仿宋" w:eastAsia="仿宋"/>
          <w:b/>
          <w:bCs w:val="0"/>
          <w:iCs/>
          <w:sz w:val="24"/>
          <w:szCs w:val="24"/>
        </w:rPr>
        <w:t>社保</w:t>
      </w:r>
      <w:r>
        <w:rPr>
          <w:rFonts w:hint="eastAsia" w:ascii="仿宋" w:hAnsi="仿宋" w:eastAsia="仿宋"/>
          <w:bCs/>
          <w:iCs/>
          <w:sz w:val="24"/>
          <w:szCs w:val="24"/>
        </w:rPr>
        <w:t>及</w:t>
      </w:r>
      <w:r>
        <w:rPr>
          <w:rFonts w:hint="eastAsia" w:ascii="仿宋" w:hAnsi="仿宋" w:eastAsia="仿宋"/>
          <w:b/>
          <w:bCs w:val="0"/>
          <w:iCs/>
          <w:sz w:val="24"/>
          <w:szCs w:val="24"/>
        </w:rPr>
        <w:t>税收</w:t>
      </w:r>
      <w:r>
        <w:rPr>
          <w:rFonts w:hint="eastAsia" w:ascii="仿宋" w:hAnsi="仿宋" w:eastAsia="仿宋"/>
          <w:bCs/>
          <w:iCs/>
          <w:sz w:val="24"/>
          <w:szCs w:val="24"/>
        </w:rPr>
        <w:t>缴纳证明；依法不需要缴纳的应提供相关证明文件</w:t>
      </w:r>
    </w:p>
    <w:p>
      <w:pPr>
        <w:rPr>
          <w:rFonts w:ascii="仿宋" w:hAnsi="仿宋" w:eastAsia="仿宋"/>
        </w:rPr>
      </w:pPr>
    </w:p>
    <w:bookmarkEnd w:id="17"/>
    <w:p>
      <w:pPr>
        <w:pStyle w:val="3"/>
        <w:spacing w:line="240" w:lineRule="auto"/>
        <w:rPr>
          <w:rFonts w:ascii="仿宋" w:hAnsi="仿宋" w:eastAsia="仿宋"/>
          <w:b w:val="0"/>
          <w:bCs/>
          <w:iCs/>
          <w:sz w:val="24"/>
          <w:szCs w:val="24"/>
        </w:rPr>
      </w:pPr>
      <w:r>
        <w:rPr>
          <w:rFonts w:ascii="仿宋" w:hAnsi="仿宋" w:eastAsia="仿宋"/>
        </w:rPr>
        <w:br w:type="page"/>
      </w:r>
      <w:bookmarkEnd w:id="18"/>
      <w:bookmarkStart w:id="19" w:name="_Toc105617044"/>
      <w:bookmarkStart w:id="20" w:name="_Toc6131"/>
      <w:r>
        <w:rPr>
          <w:rFonts w:hint="eastAsia" w:ascii="仿宋" w:hAnsi="仿宋" w:eastAsia="仿宋"/>
          <w:b/>
          <w:bCs w:val="0"/>
          <w:iCs/>
          <w:sz w:val="24"/>
          <w:szCs w:val="24"/>
        </w:rPr>
        <w:t>参加政府采购活动前三年内，在经营活动中没有重大违法记录</w:t>
      </w:r>
      <w:bookmarkEnd w:id="19"/>
      <w:bookmarkEnd w:id="20"/>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西安市自然资源和规划局长安分局矿产资源管理站</w:t>
      </w:r>
      <w:r>
        <w:rPr>
          <w:rFonts w:hint="eastAsia" w:ascii="仿宋" w:hAnsi="仿宋" w:eastAsia="仿宋" w:cs="仿宋"/>
          <w:szCs w:val="24"/>
          <w:shd w:val="clear" w:color="auto" w:fill="FFFFFF"/>
        </w:rPr>
        <w:t>：</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4"/>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4"/>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3"/>
        <w:spacing w:line="240" w:lineRule="auto"/>
        <w:rPr>
          <w:rFonts w:ascii="仿宋" w:hAnsi="仿宋" w:eastAsia="仿宋"/>
          <w:b/>
          <w:bCs w:val="0"/>
          <w:iCs/>
          <w:sz w:val="24"/>
          <w:szCs w:val="24"/>
        </w:rPr>
      </w:pPr>
      <w:r>
        <w:rPr>
          <w:rFonts w:hint="eastAsia" w:ascii="仿宋" w:hAnsi="仿宋" w:eastAsia="仿宋"/>
          <w:b/>
          <w:bCs w:val="0"/>
          <w:iCs/>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（供应商地址）</w:t>
      </w:r>
      <w:r>
        <w:rPr>
          <w:rFonts w:hint="eastAsia" w:ascii="仿宋" w:hAnsi="仿宋" w:eastAsia="仿宋"/>
          <w:sz w:val="24"/>
        </w:rPr>
        <w:t>的</w:t>
      </w:r>
      <w:r>
        <w:rPr>
          <w:rFonts w:hint="eastAsia" w:ascii="仿宋" w:hAnsi="仿宋" w:eastAsia="仿宋"/>
          <w:sz w:val="24"/>
          <w:u w:val="single"/>
        </w:rPr>
        <w:t>（供应商名称）</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hint="eastAsia" w:ascii="仿宋" w:hAnsi="仿宋" w:eastAsia="仿宋"/>
          <w:sz w:val="24"/>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r>
        <w:rPr>
          <w:rFonts w:hint="eastAsia" w:ascii="仿宋" w:hAnsi="仿宋" w:eastAsia="仿宋"/>
          <w:sz w:val="24"/>
        </w:rPr>
        <w:t>被授权人提供响应文件截止时间前一年内任意一个月在投标人单位缴纳社会保障资金（养老保险或医疗保险）的缴纳证明及被授权人身份证</w:t>
      </w: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4"/>
        <w:rPr>
          <w:rFonts w:ascii="仿宋" w:hAnsi="仿宋" w:eastAsia="仿宋"/>
        </w:rPr>
      </w:pPr>
      <w:r>
        <w:rPr>
          <w:rFonts w:ascii="仿宋" w:hAnsi="仿宋" w:eastAsia="仿宋"/>
        </w:rPr>
        <w:br w:type="page"/>
      </w:r>
    </w:p>
    <w:p>
      <w:pPr>
        <w:pStyle w:val="3"/>
        <w:spacing w:line="240" w:lineRule="auto"/>
        <w:rPr>
          <w:rFonts w:hint="eastAsia" w:ascii="仿宋" w:hAnsi="仿宋" w:eastAsia="仿宋"/>
          <w:b/>
          <w:bCs w:val="0"/>
          <w:iCs/>
          <w:sz w:val="24"/>
          <w:szCs w:val="24"/>
        </w:rPr>
      </w:pPr>
      <w:bookmarkStart w:id="21" w:name="_Toc105617047"/>
      <w:bookmarkStart w:id="22" w:name="_Toc22607"/>
      <w:r>
        <w:rPr>
          <w:rFonts w:hint="eastAsia" w:ascii="仿宋" w:hAnsi="仿宋" w:eastAsia="仿宋"/>
          <w:b/>
          <w:bCs w:val="0"/>
          <w:iCs/>
          <w:sz w:val="24"/>
          <w:szCs w:val="24"/>
        </w:rPr>
        <w:t>供应商须具备地质灾害评估和治理工程勘查设计资质甲级资质</w:t>
      </w:r>
    </w:p>
    <w:p>
      <w:pPr>
        <w:rPr>
          <w:rFonts w:hint="eastAsia" w:ascii="仿宋" w:hAnsi="仿宋" w:eastAsia="仿宋"/>
          <w:b/>
          <w:bCs w:val="0"/>
          <w:iCs/>
          <w:sz w:val="24"/>
          <w:szCs w:val="24"/>
        </w:rPr>
      </w:pPr>
      <w:r>
        <w:rPr>
          <w:rFonts w:hint="eastAsia" w:ascii="仿宋" w:hAnsi="仿宋" w:eastAsia="仿宋"/>
          <w:b/>
          <w:bCs w:val="0"/>
          <w:iCs/>
          <w:sz w:val="24"/>
          <w:szCs w:val="24"/>
        </w:rPr>
        <w:br w:type="page"/>
      </w:r>
    </w:p>
    <w:p>
      <w:pPr>
        <w:pStyle w:val="3"/>
        <w:spacing w:line="240" w:lineRule="auto"/>
        <w:rPr>
          <w:rFonts w:hint="eastAsia" w:ascii="仿宋" w:hAnsi="仿宋" w:eastAsia="仿宋"/>
          <w:b/>
          <w:bCs w:val="0"/>
          <w:iCs/>
          <w:sz w:val="24"/>
          <w:szCs w:val="24"/>
        </w:rPr>
      </w:pPr>
      <w:r>
        <w:rPr>
          <w:rFonts w:hint="eastAsia" w:ascii="仿宋" w:hAnsi="仿宋" w:eastAsia="仿宋"/>
          <w:b/>
          <w:bCs w:val="0"/>
          <w:iCs/>
          <w:sz w:val="24"/>
          <w:szCs w:val="24"/>
        </w:rPr>
        <w:t>本项目为专门面向中小企业采购仅限符合《政府采购促进中小企业发展办法》（财库〔2020〕46 号）条件的中小企业参与，投标人应填写中小企业声明函并对真实性负责</w:t>
      </w:r>
    </w:p>
    <w:p>
      <w:pPr>
        <w:jc w:val="center"/>
        <w:outlineLvl w:val="9"/>
        <w:rPr>
          <w:rFonts w:hint="eastAsia" w:ascii="仿宋" w:hAnsi="仿宋" w:eastAsia="仿宋" w:cs="仿宋"/>
          <w:bCs/>
          <w:color w:val="auto"/>
          <w:szCs w:val="32"/>
          <w:highlight w:val="none"/>
        </w:rPr>
      </w:pPr>
      <w:r>
        <w:rPr>
          <w:rFonts w:hint="eastAsia" w:ascii="仿宋" w:hAnsi="仿宋" w:eastAsia="仿宋" w:cs="仿宋"/>
          <w:b/>
          <w:bCs w:val="0"/>
          <w:color w:val="auto"/>
          <w:sz w:val="32"/>
          <w:szCs w:val="48"/>
          <w:highlight w:val="none"/>
        </w:rPr>
        <w:t>中小企业声明函（工程、服务）</w:t>
      </w:r>
    </w:p>
    <w:p>
      <w:pPr>
        <w:rPr>
          <w:rFonts w:hint="eastAsia" w:ascii="仿宋" w:hAnsi="仿宋" w:eastAsia="仿宋" w:cs="仿宋"/>
          <w:color w:val="auto"/>
          <w:highlight w:val="none"/>
        </w:rPr>
      </w:pPr>
    </w:p>
    <w:p>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本公司（联合体）郑重声明，根据《政府采购促进中小企业发展管理办法》（财库﹝2020﹞46 号）的规定，本公司（联合体）参加</w:t>
      </w:r>
      <w:r>
        <w:rPr>
          <w:rFonts w:hint="eastAsia" w:ascii="仿宋" w:hAnsi="仿宋" w:eastAsia="仿宋" w:cs="仿宋"/>
          <w:color w:val="auto"/>
          <w:kern w:val="0"/>
          <w:sz w:val="24"/>
          <w:szCs w:val="24"/>
          <w:highlight w:val="none"/>
          <w:u w:val="single"/>
          <w:lang w:bidi="ar"/>
        </w:rPr>
        <w:t>（单位名称）</w:t>
      </w:r>
      <w:r>
        <w:rPr>
          <w:rFonts w:hint="eastAsia" w:ascii="仿宋" w:hAnsi="仿宋" w:eastAsia="仿宋" w:cs="仿宋"/>
          <w:color w:val="auto"/>
          <w:kern w:val="0"/>
          <w:sz w:val="24"/>
          <w:szCs w:val="24"/>
          <w:highlight w:val="none"/>
          <w:lang w:bidi="ar"/>
        </w:rPr>
        <w:t>的</w:t>
      </w:r>
      <w:r>
        <w:rPr>
          <w:rFonts w:hint="eastAsia" w:ascii="仿宋" w:hAnsi="仿宋" w:eastAsia="仿宋" w:cs="仿宋"/>
          <w:color w:val="auto"/>
          <w:kern w:val="0"/>
          <w:sz w:val="24"/>
          <w:szCs w:val="24"/>
          <w:highlight w:val="none"/>
          <w:u w:val="single"/>
          <w:lang w:bidi="ar"/>
        </w:rPr>
        <w:t>（项目名称）</w:t>
      </w:r>
      <w:r>
        <w:rPr>
          <w:rFonts w:hint="eastAsia" w:ascii="仿宋" w:hAnsi="仿宋" w:eastAsia="仿宋" w:cs="仿宋"/>
          <w:color w:val="auto"/>
          <w:kern w:val="0"/>
          <w:sz w:val="24"/>
          <w:szCs w:val="24"/>
          <w:highlight w:val="none"/>
          <w:lang w:bidi="ar"/>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1. </w:t>
      </w:r>
      <w:r>
        <w:rPr>
          <w:rFonts w:hint="eastAsia" w:ascii="仿宋" w:hAnsi="仿宋" w:eastAsia="仿宋" w:cs="仿宋"/>
          <w:i/>
          <w:iCs/>
          <w:color w:val="auto"/>
          <w:kern w:val="0"/>
          <w:sz w:val="24"/>
          <w:szCs w:val="24"/>
          <w:highlight w:val="none"/>
          <w:u w:val="single"/>
          <w:lang w:bidi="ar"/>
        </w:rPr>
        <w:t xml:space="preserve">（标的名称） </w:t>
      </w:r>
      <w:r>
        <w:rPr>
          <w:rFonts w:hint="eastAsia" w:ascii="仿宋" w:hAnsi="仿宋" w:eastAsia="仿宋" w:cs="仿宋"/>
          <w:color w:val="auto"/>
          <w:kern w:val="0"/>
          <w:sz w:val="24"/>
          <w:szCs w:val="24"/>
          <w:highlight w:val="none"/>
          <w:lang w:bidi="ar"/>
        </w:rPr>
        <w:t>，属于</w:t>
      </w:r>
      <w:r>
        <w:rPr>
          <w:rFonts w:hint="eastAsia" w:ascii="仿宋" w:hAnsi="仿宋" w:eastAsia="仿宋" w:cs="仿宋"/>
          <w:i/>
          <w:iCs/>
          <w:color w:val="auto"/>
          <w:kern w:val="0"/>
          <w:sz w:val="24"/>
          <w:szCs w:val="24"/>
          <w:highlight w:val="none"/>
          <w:u w:val="single"/>
          <w:lang w:bidi="ar"/>
        </w:rPr>
        <w:t>（其他未列明行业）</w:t>
      </w:r>
      <w:r>
        <w:rPr>
          <w:rFonts w:hint="eastAsia" w:ascii="仿宋" w:hAnsi="仿宋" w:eastAsia="仿宋" w:cs="仿宋"/>
          <w:color w:val="auto"/>
          <w:kern w:val="0"/>
          <w:sz w:val="24"/>
          <w:szCs w:val="24"/>
          <w:highlight w:val="none"/>
          <w:lang w:bidi="ar"/>
        </w:rPr>
        <w:t>；承建（承接）企业为</w:t>
      </w:r>
      <w:r>
        <w:rPr>
          <w:rFonts w:hint="eastAsia" w:ascii="仿宋" w:hAnsi="仿宋" w:eastAsia="仿宋" w:cs="仿宋"/>
          <w:i/>
          <w:iCs/>
          <w:color w:val="auto"/>
          <w:kern w:val="0"/>
          <w:sz w:val="24"/>
          <w:szCs w:val="24"/>
          <w:highlight w:val="none"/>
          <w:u w:val="single"/>
          <w:lang w:bidi="ar"/>
        </w:rPr>
        <w:t>（企业名称）</w:t>
      </w:r>
      <w:r>
        <w:rPr>
          <w:rFonts w:hint="eastAsia" w:ascii="仿宋" w:hAnsi="仿宋" w:eastAsia="仿宋" w:cs="仿宋"/>
          <w:color w:val="auto"/>
          <w:kern w:val="0"/>
          <w:sz w:val="24"/>
          <w:szCs w:val="24"/>
          <w:highlight w:val="none"/>
          <w:lang w:bidi="ar"/>
        </w:rPr>
        <w:t>，从业人员</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人，营业收入为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万元，资产总额为</w:t>
      </w:r>
      <w:r>
        <w:rPr>
          <w:rFonts w:hint="eastAsia" w:ascii="仿宋" w:hAnsi="仿宋" w:eastAsia="仿宋" w:cs="仿宋"/>
          <w:color w:val="auto"/>
          <w:kern w:val="0"/>
          <w:sz w:val="24"/>
          <w:szCs w:val="24"/>
          <w:highlight w:val="none"/>
          <w:u w:val="single"/>
          <w:lang w:bidi="ar"/>
        </w:rPr>
        <w:t xml:space="preserve">      </w:t>
      </w:r>
      <w:r>
        <w:rPr>
          <w:rFonts w:hint="eastAsia" w:ascii="仿宋" w:hAnsi="仿宋" w:eastAsia="仿宋" w:cs="仿宋"/>
          <w:color w:val="auto"/>
          <w:kern w:val="0"/>
          <w:sz w:val="24"/>
          <w:szCs w:val="24"/>
          <w:highlight w:val="none"/>
          <w:lang w:bidi="ar"/>
        </w:rPr>
        <w:t>万元，属于</w:t>
      </w:r>
      <w:r>
        <w:rPr>
          <w:rFonts w:hint="eastAsia" w:ascii="仿宋" w:hAnsi="仿宋" w:eastAsia="仿宋" w:cs="仿宋"/>
          <w:i/>
          <w:iCs/>
          <w:color w:val="auto"/>
          <w:kern w:val="0"/>
          <w:sz w:val="24"/>
          <w:szCs w:val="24"/>
          <w:highlight w:val="none"/>
          <w:u w:val="single"/>
          <w:lang w:bidi="ar"/>
        </w:rPr>
        <w:t>（中型企业、小型企业、微型企业）</w:t>
      </w:r>
      <w:r>
        <w:rPr>
          <w:rFonts w:hint="eastAsia" w:ascii="仿宋" w:hAnsi="仿宋" w:eastAsia="仿宋" w:cs="仿宋"/>
          <w:color w:val="auto"/>
          <w:kern w:val="0"/>
          <w:sz w:val="24"/>
          <w:szCs w:val="24"/>
          <w:highlight w:val="none"/>
          <w:lang w:bidi="ar"/>
        </w:rPr>
        <w:t xml:space="preserve">； </w:t>
      </w:r>
    </w:p>
    <w:p>
      <w:pPr>
        <w:widowControl/>
        <w:spacing w:line="360" w:lineRule="auto"/>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w:t>
      </w:r>
    </w:p>
    <w:p>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以上企业，不属于大企业的分支机构，不存在控股股东为大企业的情形，也不存在与大企业的负责人为同一人的情形。</w:t>
      </w:r>
    </w:p>
    <w:p>
      <w:pPr>
        <w:widowControl/>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本企业对上述声明内容的真实性负责。如有虚假，将依法承担相应责任。 </w:t>
      </w:r>
    </w:p>
    <w:p>
      <w:pPr>
        <w:widowControl/>
        <w:spacing w:line="360" w:lineRule="auto"/>
        <w:jc w:val="center"/>
        <w:rPr>
          <w:rFonts w:hint="eastAsia" w:ascii="仿宋" w:hAnsi="仿宋" w:eastAsia="仿宋" w:cs="仿宋"/>
          <w:color w:val="auto"/>
          <w:kern w:val="0"/>
          <w:sz w:val="24"/>
          <w:szCs w:val="24"/>
          <w:highlight w:val="none"/>
          <w:lang w:bidi="ar"/>
        </w:rPr>
      </w:pPr>
      <w:r>
        <w:rPr>
          <w:rFonts w:hint="eastAsia" w:ascii="仿宋" w:hAnsi="仿宋" w:eastAsia="仿宋" w:cs="仿宋"/>
          <w:color w:val="auto"/>
          <w:kern w:val="0"/>
          <w:sz w:val="24"/>
          <w:szCs w:val="24"/>
          <w:highlight w:val="none"/>
          <w:lang w:bidi="ar"/>
        </w:rPr>
        <w:t xml:space="preserve">                 </w:t>
      </w:r>
    </w:p>
    <w:p>
      <w:pPr>
        <w:widowControl/>
        <w:spacing w:line="360" w:lineRule="auto"/>
        <w:jc w:val="center"/>
        <w:rPr>
          <w:rFonts w:hint="eastAsia" w:ascii="仿宋" w:hAnsi="仿宋" w:eastAsia="仿宋" w:cs="仿宋"/>
          <w:color w:val="auto"/>
          <w:kern w:val="0"/>
          <w:sz w:val="24"/>
          <w:szCs w:val="24"/>
          <w:highlight w:val="none"/>
          <w:lang w:bidi="ar"/>
        </w:rPr>
      </w:pPr>
    </w:p>
    <w:p>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企业名称（盖章）：</w:t>
      </w:r>
    </w:p>
    <w:p>
      <w:pPr>
        <w:widowControl/>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bidi="ar"/>
        </w:rPr>
        <w:t xml:space="preserve">                              日 期：</w:t>
      </w:r>
    </w:p>
    <w:p>
      <w:pPr>
        <w:rPr>
          <w:rFonts w:hint="eastAsia" w:ascii="仿宋" w:hAnsi="仿宋" w:eastAsia="仿宋" w:cs="仿宋"/>
          <w:color w:val="auto"/>
          <w:kern w:val="0"/>
          <w:szCs w:val="21"/>
          <w:highlight w:val="none"/>
          <w:lang w:bidi="ar"/>
        </w:rPr>
      </w:pPr>
    </w:p>
    <w:p>
      <w:pPr>
        <w:rPr>
          <w:rFonts w:hint="eastAsia" w:ascii="仿宋" w:hAnsi="仿宋" w:eastAsia="仿宋" w:cs="仿宋"/>
          <w:color w:val="auto"/>
          <w:highlight w:val="none"/>
        </w:rPr>
      </w:pPr>
      <w:r>
        <w:rPr>
          <w:rFonts w:hint="eastAsia" w:ascii="仿宋" w:hAnsi="仿宋" w:eastAsia="仿宋" w:cs="仿宋"/>
          <w:color w:val="auto"/>
          <w:kern w:val="0"/>
          <w:szCs w:val="21"/>
          <w:highlight w:val="none"/>
          <w:lang w:bidi="ar"/>
        </w:rPr>
        <w:t>从业人员、营业收入、资产总额填报上一年度数据，无上一年度数据的新成立企业可不填报。</w:t>
      </w:r>
    </w:p>
    <w:p>
      <w:pPr>
        <w:spacing w:line="360" w:lineRule="auto"/>
        <w:rPr>
          <w:rFonts w:hint="eastAsia" w:ascii="仿宋" w:hAnsi="仿宋" w:eastAsia="仿宋" w:cs="仿宋"/>
          <w:b/>
          <w:bCs/>
          <w:color w:val="36363D"/>
          <w:sz w:val="24"/>
          <w:szCs w:val="40"/>
        </w:rPr>
      </w:pPr>
    </w:p>
    <w:p>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备注：本项目界定行业为</w:t>
      </w:r>
      <w:r>
        <w:rPr>
          <w:rFonts w:hint="eastAsia" w:ascii="仿宋" w:hAnsi="仿宋" w:eastAsia="仿宋" w:cs="仿宋"/>
          <w:b/>
          <w:bCs/>
          <w:color w:val="36363D"/>
          <w:sz w:val="24"/>
          <w:szCs w:val="40"/>
          <w:lang w:eastAsia="zh-CN"/>
        </w:rPr>
        <w:t>其他未列明行业</w:t>
      </w:r>
      <w:r>
        <w:rPr>
          <w:rFonts w:hint="eastAsia" w:ascii="仿宋" w:hAnsi="仿宋" w:eastAsia="仿宋" w:cs="仿宋"/>
          <w:b/>
          <w:bCs/>
          <w:color w:val="36363D"/>
          <w:sz w:val="24"/>
          <w:szCs w:val="40"/>
        </w:rPr>
        <w:t>。</w:t>
      </w:r>
    </w:p>
    <w:p>
      <w:pPr>
        <w:spacing w:line="360" w:lineRule="auto"/>
        <w:rPr>
          <w:rFonts w:hint="eastAsia" w:ascii="仿宋" w:hAnsi="仿宋" w:eastAsia="仿宋" w:cs="仿宋"/>
          <w:b/>
          <w:bCs/>
          <w:color w:val="36363D"/>
          <w:sz w:val="24"/>
          <w:szCs w:val="40"/>
        </w:rPr>
      </w:pPr>
      <w:r>
        <w:rPr>
          <w:rFonts w:hint="eastAsia" w:ascii="仿宋" w:hAnsi="仿宋" w:eastAsia="仿宋" w:cs="仿宋"/>
          <w:b/>
          <w:bCs/>
          <w:color w:val="36363D"/>
          <w:sz w:val="24"/>
          <w:szCs w:val="40"/>
        </w:rPr>
        <w:t>中小企业判别标准如下：从业人员300人以下的为中小微型企业。其中，从业人员100人及以上的为中型企业;从业人员10人及以上的为小型企业;从业人员10人以下的为微型企业。</w:t>
      </w:r>
    </w:p>
    <w:p>
      <w:pPr>
        <w:widowControl/>
        <w:spacing w:line="360" w:lineRule="auto"/>
        <w:jc w:val="left"/>
        <w:rPr>
          <w:rFonts w:hint="eastAsia"/>
          <w:lang w:val="en-US" w:eastAsia="zh-CN"/>
        </w:rPr>
      </w:pPr>
      <w:r>
        <w:rPr>
          <w:rFonts w:hint="eastAsia" w:ascii="仿宋" w:hAnsi="仿宋" w:eastAsia="仿宋" w:cs="仿宋"/>
          <w:color w:val="000000"/>
          <w:kern w:val="0"/>
          <w:sz w:val="24"/>
          <w:szCs w:val="24"/>
        </w:rPr>
        <w:t>本表所属行业不允更改，更改将导致无法认定。</w:t>
      </w:r>
    </w:p>
    <w:p>
      <w:pPr>
        <w:rPr>
          <w:rFonts w:hint="eastAsia"/>
        </w:rPr>
      </w:pPr>
    </w:p>
    <w:p>
      <w:pPr>
        <w:rPr>
          <w:rFonts w:hint="eastAsia" w:ascii="仿宋" w:hAnsi="仿宋" w:eastAsia="仿宋"/>
          <w:b/>
          <w:bCs w:val="0"/>
          <w:iCs/>
          <w:sz w:val="24"/>
          <w:szCs w:val="24"/>
        </w:rPr>
      </w:pPr>
      <w:r>
        <w:rPr>
          <w:rFonts w:hint="eastAsia" w:ascii="仿宋" w:hAnsi="仿宋" w:eastAsia="仿宋"/>
          <w:b/>
          <w:bCs w:val="0"/>
          <w:iCs/>
          <w:sz w:val="24"/>
          <w:szCs w:val="24"/>
        </w:rPr>
        <w:br w:type="page"/>
      </w:r>
    </w:p>
    <w:p>
      <w:pPr>
        <w:pStyle w:val="3"/>
        <w:spacing w:line="240" w:lineRule="auto"/>
        <w:rPr>
          <w:rFonts w:ascii="仿宋" w:hAnsi="仿宋" w:eastAsia="仿宋"/>
          <w:b/>
          <w:bCs w:val="0"/>
          <w:iCs/>
          <w:sz w:val="24"/>
          <w:szCs w:val="24"/>
        </w:rPr>
      </w:pPr>
      <w:r>
        <w:rPr>
          <w:rFonts w:hint="eastAsia" w:ascii="仿宋" w:hAnsi="仿宋" w:eastAsia="仿宋"/>
          <w:b/>
          <w:bCs w:val="0"/>
          <w:iCs/>
          <w:sz w:val="24"/>
          <w:szCs w:val="24"/>
        </w:rPr>
        <w:t>本项目不接受联合体投标</w:t>
      </w:r>
      <w:bookmarkEnd w:id="21"/>
      <w:bookmarkEnd w:id="22"/>
    </w:p>
    <w:p>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西安市自然资源和规划局长安分局矿产资源管理站</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4"/>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4"/>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4"/>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4"/>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pPr>
              <w:pStyle w:val="4"/>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4"/>
              <w:rPr>
                <w:rFonts w:ascii="仿宋" w:hAnsi="仿宋" w:eastAsia="仿宋"/>
                <w:b w:val="0"/>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wNDBiMTI1OWE5ZGZlNTE1ODMxM2M2MzE1YjAyZDAifQ=="/>
  </w:docVars>
  <w:rsids>
    <w:rsidRoot w:val="486F273F"/>
    <w:rsid w:val="02105134"/>
    <w:rsid w:val="023713C1"/>
    <w:rsid w:val="046E76D5"/>
    <w:rsid w:val="124F1F2D"/>
    <w:rsid w:val="1BFE5ADE"/>
    <w:rsid w:val="23367FA3"/>
    <w:rsid w:val="3B6A197D"/>
    <w:rsid w:val="45CA05AF"/>
    <w:rsid w:val="486F273F"/>
    <w:rsid w:val="4B751DCD"/>
    <w:rsid w:val="4C6360CA"/>
    <w:rsid w:val="69CC6242"/>
    <w:rsid w:val="7C876F7E"/>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autoRedefine/>
    <w:qFormat/>
    <w:uiPriority w:val="0"/>
    <w:pPr>
      <w:keepNext/>
      <w:keepLines/>
      <w:spacing w:before="260" w:after="260" w:line="415" w:lineRule="auto"/>
      <w:outlineLvl w:val="1"/>
    </w:pPr>
    <w:rPr>
      <w:rFonts w:ascii="Arial" w:hAnsi="Arial" w:eastAsia="黑体"/>
      <w:kern w:val="0"/>
      <w:sz w:val="32"/>
      <w:szCs w:val="20"/>
    </w:rPr>
  </w:style>
  <w:style w:type="paragraph" w:styleId="3">
    <w:name w:val="heading 3"/>
    <w:basedOn w:val="1"/>
    <w:next w:val="1"/>
    <w:autoRedefine/>
    <w:qFormat/>
    <w:uiPriority w:val="0"/>
    <w:pPr>
      <w:keepNext/>
      <w:keepLines/>
      <w:spacing w:before="260" w:after="260" w:line="415" w:lineRule="auto"/>
      <w:outlineLvl w:val="2"/>
    </w:pPr>
    <w:rPr>
      <w:b/>
      <w:sz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b/>
      <w:sz w:val="28"/>
    </w:rPr>
  </w:style>
  <w:style w:type="paragraph" w:styleId="5">
    <w:name w:val="Normal (Web)"/>
    <w:basedOn w:val="1"/>
    <w:autoRedefine/>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2733</Words>
  <Characters>2761</Characters>
  <Lines>0</Lines>
  <Paragraphs>0</Paragraphs>
  <TotalTime>4</TotalTime>
  <ScaleCrop>false</ScaleCrop>
  <LinksUpToDate>false</LinksUpToDate>
  <CharactersWithSpaces>3481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Zhe</cp:lastModifiedBy>
  <dcterms:modified xsi:type="dcterms:W3CDTF">2024-08-21T07:20:52Z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F8A8DF1BFD67441683E2C28521FEE55D_11</vt:lpwstr>
  </property>
</Properties>
</file>