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版本号：240626001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2023年第一批市级农业农村发展专项资金（长安区农产品质量安全监测(畜禽产品及监督抽检)项目）</w:t>
      </w:r>
    </w:p>
    <w:p>
      <w:pPr>
        <w:pStyle w:val="null3"/>
        <w:jc w:val="center"/>
        <w:outlineLvl w:val="2"/>
      </w:pPr>
      <w:r>
        <w:rPr>
          <w:sz w:val="28"/>
          <w:b/>
        </w:rPr>
        <w:t>采购项目编号：</w:t>
      </w:r>
      <w:r>
        <w:rPr>
          <w:sz w:val="28"/>
          <w:b/>
        </w:rPr>
        <w:t>AYZB-2024-040</w:t>
      </w:r>
      <w:r>
        <w:br/>
      </w:r>
      <w:r>
        <w:br/>
      </w:r>
      <w:r>
        <w:br/>
      </w:r>
    </w:p>
    <w:p>
      <w:pPr>
        <w:pStyle w:val="null3"/>
        <w:jc w:val="center"/>
        <w:outlineLvl w:val="2"/>
      </w:pPr>
      <w:r>
        <w:rPr>
          <w:sz w:val="28"/>
          <w:b/>
        </w:rPr>
        <w:t>西安市长安区农业综合执法大队</w:t>
      </w:r>
    </w:p>
    <w:p>
      <w:pPr>
        <w:pStyle w:val="null3"/>
        <w:jc w:val="center"/>
        <w:outlineLvl w:val="2"/>
      </w:pPr>
      <w:r>
        <w:rPr>
          <w:sz w:val="28"/>
          <w:b/>
        </w:rPr>
        <w:t>安屹项目管理有限公司</w:t>
      </w:r>
      <w:r>
        <w:rPr>
          <w:sz w:val="28"/>
          <w:b/>
        </w:rPr>
        <w:t>共同编制</w:t>
      </w:r>
    </w:p>
    <w:p>
      <w:pPr>
        <w:pStyle w:val="null3"/>
        <w:jc w:val="center"/>
        <w:outlineLvl w:val="2"/>
      </w:pPr>
      <w:r>
        <w:rPr>
          <w:sz w:val="28"/>
          <w:b/>
        </w:rPr>
        <w:t>2024年06月26日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安屹项目管理有限公司</w:t>
      </w:r>
      <w:r>
        <w:rPr/>
        <w:t>（以下简称“代理机构”）受</w:t>
      </w:r>
      <w:r>
        <w:rPr/>
        <w:t>西安市长安区农业综合执法大队</w:t>
      </w:r>
      <w:r>
        <w:rPr/>
        <w:t>委托，拟对</w:t>
      </w:r>
      <w:r>
        <w:rPr/>
        <w:t>2023年第一批市级农业农村发展专项资金（长安区农产品质量安全监测(畜禽产品及监督抽检)项目）</w:t>
      </w:r>
      <w:r>
        <w:rPr/>
        <w:t>采用竞争性磋商采购方式进行采购，兹邀请供应商参加本项目的竞争性磋商。</w:t>
      </w:r>
    </w:p>
    <w:p>
      <w:pPr>
        <w:pStyle w:val="null3"/>
        <w:outlineLvl w:val="2"/>
      </w:pPr>
      <w:r>
        <w:rPr>
          <w:sz w:val="28"/>
          <w:b/>
        </w:rPr>
        <w:t>一、项目编号：</w:t>
      </w:r>
      <w:r>
        <w:rPr>
          <w:sz w:val="28"/>
          <w:b/>
        </w:rPr>
        <w:t>AYZB-2024-040</w:t>
      </w:r>
    </w:p>
    <w:p>
      <w:pPr>
        <w:pStyle w:val="null3"/>
        <w:outlineLvl w:val="2"/>
      </w:pPr>
      <w:r>
        <w:rPr>
          <w:sz w:val="28"/>
          <w:b/>
        </w:rPr>
        <w:t>二、项目名称：</w:t>
      </w:r>
      <w:r>
        <w:rPr>
          <w:sz w:val="28"/>
          <w:b/>
        </w:rPr>
        <w:t>2023年第一批市级农业农村发展专项资金（长安区农产品质量安全监测(畜禽产品及监督抽检)项目）</w:t>
      </w:r>
    </w:p>
    <w:p>
      <w:pPr>
        <w:pStyle w:val="null3"/>
        <w:outlineLvl w:val="2"/>
      </w:pPr>
      <w:r>
        <w:rPr>
          <w:sz w:val="28"/>
          <w:b/>
        </w:rPr>
        <w:t>三、磋商项目简介</w:t>
      </w:r>
    </w:p>
    <w:p>
      <w:pPr>
        <w:pStyle w:val="null3"/>
        <w:ind w:firstLine="480"/>
      </w:pPr>
      <w:r>
        <w:rPr/>
        <w:t>长安区农产品质量安全监测(畜禽产品及监督抽检)项目），定量监测任务605批次，其中例行监测畜禽产品定量监测任务269批次；监督抽查任务336批次，含种植业产品252批次，畜禽产品67批次，水产品17批次。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采购包1（长安区农产品质量安全监测(畜禽产品及监督抽检)项目）：属于专门面向中小企业采购。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1、法定代表人授权书：法定代表人授权书（附法定代表人、被授权人身份证复印件）,法定代表人直接参加磋商，须提供法定代表人身份证明。</w:t>
      </w:r>
    </w:p>
    <w:p>
      <w:pPr>
        <w:pStyle w:val="null3"/>
      </w:pPr>
      <w:r>
        <w:rPr/>
        <w:t>2、资质证书：具备合法有效的CMA检验检测机构资质认定证书、CATL农产品质量安全检测机构考核合格证书。</w:t>
      </w:r>
    </w:p>
    <w:p>
      <w:pPr>
        <w:pStyle w:val="null3"/>
      </w:pPr>
      <w:r>
        <w:rPr/>
        <w:t>3、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西安市长安区农业综合执法大队</w:t>
      </w:r>
    </w:p>
    <w:p>
      <w:pPr>
        <w:pStyle w:val="null3"/>
      </w:pPr>
      <w:r>
        <w:rPr/>
        <w:t xml:space="preserve"> 地址： </w:t>
      </w:r>
      <w:r>
        <w:rPr/>
        <w:t>西安市长安区韦曲街道南长安街522号</w:t>
      </w:r>
    </w:p>
    <w:p>
      <w:pPr>
        <w:pStyle w:val="null3"/>
      </w:pPr>
      <w:r>
        <w:rPr/>
        <w:t xml:space="preserve"> 邮编： </w:t>
      </w:r>
      <w:r>
        <w:rPr/>
        <w:t>710100</w:t>
      </w:r>
    </w:p>
    <w:p>
      <w:pPr>
        <w:pStyle w:val="null3"/>
      </w:pPr>
      <w:r>
        <w:rPr/>
        <w:t xml:space="preserve"> 联系人： </w:t>
      </w:r>
      <w:r>
        <w:rPr/>
        <w:t>陈其</w:t>
      </w:r>
    </w:p>
    <w:p>
      <w:pPr>
        <w:pStyle w:val="null3"/>
      </w:pPr>
      <w:r>
        <w:rPr/>
        <w:t xml:space="preserve"> 联系电话： </w:t>
      </w:r>
      <w:r>
        <w:rPr/>
        <w:t>029-85622881</w:t>
      </w:r>
    </w:p>
    <w:p>
      <w:pPr>
        <w:pStyle w:val="null3"/>
        <w:outlineLvl w:val="3"/>
      </w:pPr>
      <w:r>
        <w:rPr>
          <w:sz w:val="24"/>
          <w:b/>
        </w:rPr>
        <w:t>代理机构：</w:t>
      </w:r>
      <w:r>
        <w:rPr>
          <w:sz w:val="24"/>
          <w:b/>
        </w:rPr>
        <w:t>安屹项目管理有限公司</w:t>
      </w:r>
    </w:p>
    <w:p>
      <w:pPr>
        <w:pStyle w:val="null3"/>
      </w:pPr>
      <w:r>
        <w:rPr/>
        <w:t xml:space="preserve"> 地址： </w:t>
      </w:r>
      <w:r>
        <w:rPr/>
        <w:t>陕西省西安市经济技术开发区文景商务广场C座2501室</w:t>
      </w:r>
    </w:p>
    <w:p>
      <w:pPr>
        <w:pStyle w:val="null3"/>
      </w:pPr>
      <w:r>
        <w:rPr/>
        <w:t xml:space="preserve"> 邮编： </w:t>
      </w:r>
      <w:r>
        <w:rPr/>
        <w:t>710000</w:t>
      </w:r>
    </w:p>
    <w:p>
      <w:pPr>
        <w:pStyle w:val="null3"/>
      </w:pPr>
      <w:r>
        <w:rPr/>
        <w:t xml:space="preserve"> 联系人： </w:t>
      </w:r>
      <w:r>
        <w:rPr/>
        <w:t>张工</w:t>
      </w:r>
    </w:p>
    <w:p>
      <w:pPr>
        <w:pStyle w:val="null3"/>
      </w:pPr>
      <w:r>
        <w:rPr/>
        <w:t xml:space="preserve"> 联系电话： </w:t>
      </w:r>
      <w:r>
        <w:rPr/>
        <w:t>029-88643256</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参照《国家计委关于印发&lt;招标代理服务收费管理暂行办法&gt;的通知》(计价格〔2002〕1980号)、《国家发展改革委关于降低部分建设项目收费标准规范收费行为等有关问题的通知》(发改价格〔2011〕534号)等有关规定收费标准收取。招标代理服务费账户：开户行名称：安屹项目管理有限公司、开户行：中国民生银行股份有限公司西安汉城路支行、帐号：157 680 362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西安市长安区农业综合执法大队</w:t>
      </w:r>
      <w:r>
        <w:rPr/>
        <w:t>和</w:t>
      </w:r>
      <w:r>
        <w:rPr/>
        <w:t>安屹项目管理有限公司</w:t>
      </w:r>
      <w:r>
        <w:rPr/>
        <w:t>享有。对磋商文件中供应商参加本次政府采购活动应当具备的条件，磋商项目技术、服务、商务及其他要求，评审细则及标准由</w:t>
      </w:r>
      <w:r>
        <w:rPr/>
        <w:t>西安市长安区农业综合执法大队</w:t>
      </w:r>
      <w:r>
        <w:rPr/>
        <w:t>负责解释。除上述磋商文件内容，其他内容由</w:t>
      </w:r>
      <w:r>
        <w:rPr/>
        <w:t>安屹项目管理有限公司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西安市长安区农业综合执法大队</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安屹项目管理有限公司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达到国家或行业质量验收合格标准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安屹项目管理有限公司</w:t>
      </w:r>
      <w:r>
        <w:rPr/>
        <w:t xml:space="preserve"> 负责答复；供应商对除采购需求外的采购文件的询问、质疑由</w:t>
      </w:r>
      <w:r>
        <w:rPr/>
        <w:t>安屹项目管理有限公司</w:t>
      </w:r>
      <w:r>
        <w:rPr/>
        <w:t xml:space="preserve"> 负责答复；供应商对采购过程、采购结果的询问、质疑由 </w:t>
      </w:r>
      <w:r>
        <w:rPr/>
        <w:t>安屹项目管理有限公司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联系人：张工</w:t>
      </w:r>
    </w:p>
    <w:p>
      <w:pPr>
        <w:pStyle w:val="null3"/>
      </w:pPr>
      <w:r>
        <w:rPr/>
        <w:t>联系电话：029-88643256</w:t>
      </w:r>
    </w:p>
    <w:p>
      <w:pPr>
        <w:pStyle w:val="null3"/>
      </w:pPr>
      <w:r>
        <w:rPr/>
        <w:t>地址：西安市经济技术开发区文景商务广场C座2501室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长安区农产品质量安全监测(畜禽产品及监督抽检)项目），定量监测任务605批次，其中例行监测畜禽产品定量监测任务269批次；监督抽查任务336批次，含种植业产品252批次，畜禽产品67批次，水产品17批次。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580,000.00</w:t>
      </w:r>
    </w:p>
    <w:p>
      <w:pPr>
        <w:pStyle w:val="null3"/>
      </w:pPr>
      <w:r>
        <w:rPr/>
        <w:t>采购包最高限价（元）: 580,000.00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长安区农产品质量安全监测(畜禽产品及监督抽检)项目</w:t>
            </w:r>
          </w:p>
        </w:tc>
        <w:tc>
          <w:tcPr>
            <w:tcW w:type="dxa" w:w="831"/>
          </w:tcPr>
          <w:p>
            <w:pPr>
              <w:pStyle w:val="null3"/>
              <w:jc w:val="right"/>
            </w:pPr>
            <w:r>
              <w:rPr/>
              <w:t>605.00</w:t>
            </w:r>
          </w:p>
        </w:tc>
        <w:tc>
          <w:tcPr>
            <w:tcW w:type="dxa" w:w="831"/>
          </w:tcPr>
          <w:p>
            <w:pPr>
              <w:pStyle w:val="null3"/>
              <w:jc w:val="right"/>
            </w:pPr>
            <w:r>
              <w:rPr/>
              <w:t>580,000.00</w:t>
            </w:r>
          </w:p>
        </w:tc>
        <w:tc>
          <w:tcPr>
            <w:tcW w:type="dxa" w:w="831"/>
          </w:tcPr>
          <w:p>
            <w:pPr>
              <w:pStyle w:val="null3"/>
            </w:pPr>
            <w:r>
              <w:rPr/>
              <w:t>批次</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标的名称：长安区农产品质量安全监测(畜禽产品及监督抽检)项目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定量监测任务</w:t>
            </w:r>
            <w:r>
              <w:rPr>
                <w:rFonts w:ascii="宋体" w:hAnsi="宋体" w:cs="宋体" w:eastAsia="宋体"/>
                <w:sz w:val="24"/>
              </w:rPr>
              <w:t>605批次，其中例行监测畜禽产品定量监测任务269批次；监督抽查任务336批次，含种植业产品252批次，畜禽产品67批次，水产品17批次。具体如下：</w:t>
            </w:r>
          </w:p>
          <w:p>
            <w:pPr>
              <w:pStyle w:val="null3"/>
              <w:ind w:firstLine="360"/>
              <w:jc w:val="both"/>
            </w:pPr>
            <w:r>
              <w:rPr>
                <w:rFonts w:ascii="宋体" w:hAnsi="宋体" w:cs="宋体" w:eastAsia="宋体"/>
                <w:sz w:val="24"/>
              </w:rPr>
              <w:t>（一）畜禽产品定量监测内容（例行监测）：委托第三方公司对长安区屠宰场、养殖场、市场的畜禽产品（包含：猪肉、猪肝、牛肉、羊肉、禽肉、禽蛋）的质量安全进行监测，例行监测抽样畜禽产品</w:t>
            </w:r>
            <w:r>
              <w:rPr>
                <w:rFonts w:ascii="宋体" w:hAnsi="宋体" w:cs="宋体" w:eastAsia="宋体"/>
                <w:sz w:val="24"/>
              </w:rPr>
              <w:t>269批次，监督抽查畜禽产品67批次，合计336批次。畜禽产品样品明细、监测项目和监测方法（定量监测）详见下表：</w:t>
            </w:r>
          </w:p>
          <w:p>
            <w:pPr>
              <w:pStyle w:val="null3"/>
              <w:jc w:val="center"/>
            </w:pPr>
            <w:r>
              <w:rPr>
                <w:rFonts w:ascii="宋体" w:hAnsi="宋体" w:cs="宋体" w:eastAsia="宋体"/>
                <w:sz w:val="24"/>
              </w:rPr>
              <w:t>长安区畜禽产品监测样品明细表（例行监测）</w:t>
            </w:r>
          </w:p>
          <w:tbl>
            <w:tblPr>
              <w:tblInd w:type="dxa" w:w="90"/>
              <w:tblBorders>
                <w:top w:val="none" w:color="000000" w:sz="4"/>
                <w:left w:val="none" w:color="000000" w:sz="4"/>
                <w:bottom w:val="none" w:color="000000" w:sz="4"/>
                <w:right w:val="none" w:color="000000" w:sz="4"/>
                <w:insideH w:val="none"/>
                <w:insideV w:val="none"/>
              </w:tblBorders>
            </w:tblPr>
            <w:tblGrid>
              <w:gridCol w:w="809"/>
              <w:gridCol w:w="846"/>
              <w:gridCol w:w="888"/>
            </w:tblGrid>
            <w:tr>
              <w:tc>
                <w:tcPr>
                  <w:tcW w:type="dxa" w:w="8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监测区域</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监测品种</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监测数量</w:t>
                  </w:r>
                </w:p>
              </w:tc>
            </w:tr>
            <w:tr>
              <w:tc>
                <w:tcPr>
                  <w:tcW w:type="dxa" w:w="8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屠宰场</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猪肉</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71</w:t>
                  </w:r>
                </w:p>
              </w:tc>
            </w:tr>
            <w:tr>
              <w:tc>
                <w:tcPr>
                  <w:tcW w:type="dxa" w:w="809"/>
                  <w:vMerge/>
                  <w:tcBorders>
                    <w:top w:val="none" w:color="000000" w:sz="4"/>
                    <w:left w:val="singl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猪肝</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37</w:t>
                  </w:r>
                </w:p>
              </w:tc>
            </w:tr>
            <w:tr>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养殖场</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禽蛋</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r>
            <w:tr>
              <w:tc>
                <w:tcPr>
                  <w:tcW w:type="dxa" w:w="8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市场</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猪肉</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r>
            <w:tr>
              <w:tc>
                <w:tcPr>
                  <w:tcW w:type="dxa" w:w="809"/>
                  <w:vMerge/>
                  <w:tcBorders>
                    <w:top w:val="none" w:color="000000" w:sz="4"/>
                    <w:left w:val="singl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牛肉</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w:t>
                  </w:r>
                </w:p>
              </w:tc>
            </w:tr>
            <w:tr>
              <w:tc>
                <w:tcPr>
                  <w:tcW w:type="dxa" w:w="809"/>
                  <w:vMerge/>
                  <w:tcBorders>
                    <w:top w:val="none" w:color="000000" w:sz="4"/>
                    <w:left w:val="singl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羊肉</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w:t>
                  </w:r>
                </w:p>
              </w:tc>
            </w:tr>
            <w:tr>
              <w:tc>
                <w:tcPr>
                  <w:tcW w:type="dxa" w:w="809"/>
                  <w:vMerge/>
                  <w:tcBorders>
                    <w:top w:val="none" w:color="000000" w:sz="4"/>
                    <w:left w:val="singl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禽肉</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w:t>
                  </w:r>
                </w:p>
              </w:tc>
            </w:tr>
            <w:tr>
              <w:tc>
                <w:tcPr>
                  <w:tcW w:type="dxa" w:w="809"/>
                  <w:vMerge/>
                  <w:tcBorders>
                    <w:top w:val="none" w:color="000000" w:sz="4"/>
                    <w:left w:val="singl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禽蛋</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r>
            <w:tr>
              <w:tc>
                <w:tcPr>
                  <w:tcW w:type="dxa" w:w="16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合计</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269</w:t>
                  </w:r>
                </w:p>
              </w:tc>
            </w:tr>
          </w:tbl>
          <w:p>
            <w:pPr>
              <w:pStyle w:val="null3"/>
              <w:jc w:val="center"/>
            </w:pPr>
            <w:r>
              <w:rPr>
                <w:rFonts w:ascii="宋体" w:hAnsi="宋体" w:cs="宋体" w:eastAsia="宋体"/>
                <w:sz w:val="24"/>
              </w:rPr>
              <w:t>长安区畜禽产品监测样品明细表（监督抽查）</w:t>
            </w:r>
          </w:p>
          <w:tbl>
            <w:tblPr>
              <w:tblInd w:type="dxa" w:w="90"/>
              <w:tblBorders>
                <w:top w:val="none" w:color="000000" w:sz="4"/>
                <w:left w:val="none" w:color="000000" w:sz="4"/>
                <w:bottom w:val="none" w:color="000000" w:sz="4"/>
                <w:right w:val="none" w:color="000000" w:sz="4"/>
                <w:insideH w:val="none"/>
                <w:insideV w:val="none"/>
              </w:tblBorders>
            </w:tblPr>
            <w:tblGrid>
              <w:gridCol w:w="808"/>
              <w:gridCol w:w="849"/>
              <w:gridCol w:w="891"/>
            </w:tblGrid>
            <w:tr>
              <w:tc>
                <w:tcPr>
                  <w:tcW w:type="dxa" w:w="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监测区域</w:t>
                  </w:r>
                </w:p>
              </w:tc>
              <w:tc>
                <w:tcPr>
                  <w:tcW w:type="dxa" w:w="8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监测品种</w:t>
                  </w:r>
                </w:p>
              </w:tc>
              <w:tc>
                <w:tcPr>
                  <w:tcW w:type="dxa" w:w="8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监测数量</w:t>
                  </w:r>
                </w:p>
              </w:tc>
            </w:tr>
            <w:tr>
              <w:tc>
                <w:tcPr>
                  <w:tcW w:type="dxa" w:w="8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屠宰场</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猪肉</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r>
            <w:tr>
              <w:tc>
                <w:tcPr>
                  <w:tcW w:type="dxa" w:w="808"/>
                  <w:vMerge/>
                  <w:tcBorders>
                    <w:top w:val="none" w:color="000000" w:sz="4"/>
                    <w:left w:val="single" w:color="000000" w:sz="4"/>
                    <w:bottom w:val="single" w:color="000000" w:sz="4"/>
                    <w:right w:val="single" w:color="000000" w:sz="4"/>
                  </w:tcBorders>
                </w:tcP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猪肝</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养殖场</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禽蛋</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r>
            <w:tr>
              <w:tc>
                <w:tcPr>
                  <w:tcW w:type="dxa" w:w="16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合计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67</w:t>
                  </w:r>
                </w:p>
              </w:tc>
            </w:tr>
          </w:tbl>
          <w:p>
            <w:pPr>
              <w:pStyle w:val="null3"/>
              <w:jc w:val="center"/>
            </w:pPr>
            <w:r>
              <w:rPr>
                <w:rFonts w:ascii="宋体" w:hAnsi="宋体" w:cs="宋体" w:eastAsia="宋体"/>
                <w:sz w:val="24"/>
              </w:rPr>
              <w:t>畜禽产品例行监测参数和检测方法（定量监测）</w:t>
            </w:r>
          </w:p>
          <w:tbl>
            <w:tblPr>
              <w:tblBorders>
                <w:top w:val="none" w:color="000000" w:sz="4"/>
                <w:left w:val="none" w:color="000000" w:sz="4"/>
                <w:bottom w:val="none" w:color="000000" w:sz="4"/>
                <w:right w:val="none" w:color="000000" w:sz="4"/>
                <w:insideH w:val="none"/>
                <w:insideV w:val="none"/>
              </w:tblBorders>
            </w:tblPr>
            <w:tblGrid>
              <w:gridCol w:w="1183"/>
              <w:gridCol w:w="336"/>
              <w:gridCol w:w="1021"/>
            </w:tblGrid>
            <w:tr>
              <w:tc>
                <w:tcPr>
                  <w:tcW w:type="dxa" w:w="1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监测参数</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样品种类</w:t>
                  </w:r>
                </w:p>
              </w:tc>
              <w:tc>
                <w:tcPr>
                  <w:tcW w:type="dxa" w:w="1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检测方法</w:t>
                  </w:r>
                </w:p>
              </w:tc>
            </w:tr>
            <w:tr>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禁用药物</w:t>
                  </w:r>
                  <w:r>
                    <w:rPr>
                      <w:rFonts w:ascii="宋体" w:hAnsi="宋体" w:cs="宋体" w:eastAsia="宋体"/>
                      <w:sz w:val="24"/>
                    </w:rPr>
                    <w:t>β-受体激动剂类（克伦特罗、莱克多巴胺、沙丁胺醇、特布他林、西马特罗、非诺特罗、氯丙那林、妥布特罗、喷布特罗）</w:t>
                  </w:r>
                </w:p>
              </w:tc>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猪肉、猪肝、牛肉、羊肉</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按农业部</w:t>
                  </w:r>
                  <w:r>
                    <w:rPr>
                      <w:rFonts w:ascii="宋体" w:hAnsi="宋体" w:cs="宋体" w:eastAsia="宋体"/>
                      <w:sz w:val="24"/>
                    </w:rPr>
                    <w:t>1025号公告-18-2008</w:t>
                  </w:r>
                </w:p>
                <w:p>
                  <w:pPr>
                    <w:pStyle w:val="null3"/>
                    <w:jc w:val="left"/>
                  </w:pPr>
                  <w:r>
                    <w:rPr>
                      <w:rFonts w:ascii="宋体" w:hAnsi="宋体" w:cs="宋体" w:eastAsia="宋体"/>
                      <w:sz w:val="24"/>
                    </w:rPr>
                    <w:t>或</w:t>
                  </w:r>
                  <w:r>
                    <w:rPr>
                      <w:rFonts w:ascii="宋体" w:hAnsi="宋体" w:cs="宋体" w:eastAsia="宋体"/>
                      <w:sz w:val="24"/>
                    </w:rPr>
                    <w:t>GB31658.22进行检测</w:t>
                  </w:r>
                </w:p>
              </w:tc>
            </w:tr>
            <w:tr>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常规药物</w:t>
                  </w:r>
                  <w:r>
                    <w:rPr>
                      <w:rFonts w:ascii="宋体" w:hAnsi="宋体" w:cs="宋体" w:eastAsia="宋体"/>
                      <w:sz w:val="24"/>
                    </w:rPr>
                    <w:t>磺胺类（磺胺间甲氧嘧啶、磺胺甲噁唑、磺胺</w:t>
                  </w:r>
                  <w:r>
                    <w:rPr>
                      <w:rFonts w:ascii="宋体" w:hAnsi="宋体" w:cs="宋体" w:eastAsia="宋体"/>
                      <w:sz w:val="24"/>
                    </w:rPr>
                    <w:t>(间)二甲氧嘧啶、磺胺喹噁啉）</w:t>
                  </w:r>
                </w:p>
              </w:tc>
              <w:tc>
                <w:tcPr>
                  <w:tcW w:type="dxa" w:w="336"/>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按</w:t>
                  </w:r>
                  <w:r>
                    <w:rPr>
                      <w:rFonts w:ascii="宋体" w:hAnsi="宋体" w:cs="宋体" w:eastAsia="宋体"/>
                      <w:sz w:val="24"/>
                    </w:rPr>
                    <w:t>GB/T 20759</w:t>
                  </w:r>
                </w:p>
                <w:p>
                  <w:pPr>
                    <w:pStyle w:val="null3"/>
                    <w:jc w:val="left"/>
                  </w:pPr>
                  <w:r>
                    <w:rPr>
                      <w:rFonts w:ascii="宋体" w:hAnsi="宋体" w:cs="宋体" w:eastAsia="宋体"/>
                      <w:sz w:val="24"/>
                    </w:rPr>
                    <w:t>或</w:t>
                  </w:r>
                  <w:r>
                    <w:rPr>
                      <w:rFonts w:ascii="宋体" w:hAnsi="宋体" w:cs="宋体" w:eastAsia="宋体"/>
                      <w:sz w:val="24"/>
                    </w:rPr>
                    <w:t>GB31658.17</w:t>
                  </w:r>
                </w:p>
                <w:p>
                  <w:pPr>
                    <w:pStyle w:val="null3"/>
                    <w:jc w:val="left"/>
                  </w:pPr>
                  <w:r>
                    <w:rPr>
                      <w:rFonts w:ascii="宋体" w:hAnsi="宋体" w:cs="宋体" w:eastAsia="宋体"/>
                      <w:sz w:val="24"/>
                    </w:rPr>
                    <w:t>或农质发〔</w:t>
                  </w:r>
                  <w:r>
                    <w:rPr>
                      <w:rFonts w:ascii="宋体" w:hAnsi="宋体" w:cs="宋体" w:eastAsia="宋体"/>
                      <w:sz w:val="24"/>
                    </w:rPr>
                    <w:t>2014〕5号文件附录进行检测</w:t>
                  </w:r>
                </w:p>
              </w:tc>
            </w:tr>
            <w:tr>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常规药物</w:t>
                  </w:r>
                  <w:r>
                    <w:rPr>
                      <w:rFonts w:ascii="宋体" w:hAnsi="宋体" w:cs="宋体" w:eastAsia="宋体"/>
                      <w:sz w:val="24"/>
                    </w:rPr>
                    <w:t>四环素类（金霉素、土霉素、四环素、多西环素）</w:t>
                  </w:r>
                </w:p>
              </w:tc>
              <w:tc>
                <w:tcPr>
                  <w:tcW w:type="dxa" w:w="336"/>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按</w:t>
                  </w:r>
                  <w:r>
                    <w:rPr>
                      <w:rFonts w:ascii="宋体" w:hAnsi="宋体" w:cs="宋体" w:eastAsia="宋体"/>
                      <w:sz w:val="24"/>
                    </w:rPr>
                    <w:t>GB/T 21317</w:t>
                  </w:r>
                </w:p>
                <w:p>
                  <w:pPr>
                    <w:pStyle w:val="null3"/>
                    <w:jc w:val="left"/>
                  </w:pPr>
                  <w:r>
                    <w:rPr>
                      <w:rFonts w:ascii="宋体" w:hAnsi="宋体" w:cs="宋体" w:eastAsia="宋体"/>
                      <w:sz w:val="24"/>
                    </w:rPr>
                    <w:t>或</w:t>
                  </w:r>
                  <w:r>
                    <w:rPr>
                      <w:rFonts w:ascii="宋体" w:hAnsi="宋体" w:cs="宋体" w:eastAsia="宋体"/>
                      <w:sz w:val="24"/>
                    </w:rPr>
                    <w:t>GB 31658.17</w:t>
                  </w:r>
                </w:p>
                <w:p>
                  <w:pPr>
                    <w:pStyle w:val="null3"/>
                    <w:jc w:val="left"/>
                  </w:pPr>
                  <w:r>
                    <w:rPr>
                      <w:rFonts w:ascii="宋体" w:hAnsi="宋体" w:cs="宋体" w:eastAsia="宋体"/>
                      <w:sz w:val="24"/>
                    </w:rPr>
                    <w:t>或</w:t>
                  </w:r>
                  <w:r>
                    <w:rPr>
                      <w:rFonts w:ascii="宋体" w:hAnsi="宋体" w:cs="宋体" w:eastAsia="宋体"/>
                      <w:sz w:val="24"/>
                    </w:rPr>
                    <w:t>GB31658.6进行检测</w:t>
                  </w:r>
                </w:p>
              </w:tc>
            </w:tr>
            <w:tr>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常规药物</w:t>
                  </w:r>
                  <w:r>
                    <w:rPr>
                      <w:rFonts w:ascii="宋体" w:hAnsi="宋体" w:cs="宋体" w:eastAsia="宋体"/>
                      <w:sz w:val="24"/>
                    </w:rPr>
                    <w:t>糖皮质激素类（他塞米松、倍他米松）</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牛肉</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按农业部</w:t>
                  </w:r>
                  <w:r>
                    <w:rPr>
                      <w:rFonts w:ascii="宋体" w:hAnsi="宋体" w:cs="宋体" w:eastAsia="宋体"/>
                      <w:sz w:val="24"/>
                    </w:rPr>
                    <w:t>1031号公告-2-2008进行检测</w:t>
                  </w:r>
                </w:p>
              </w:tc>
            </w:tr>
            <w:tr>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常规药物</w:t>
                  </w:r>
                  <w:r>
                    <w:rPr>
                      <w:rFonts w:ascii="宋体" w:hAnsi="宋体" w:cs="宋体" w:eastAsia="宋体"/>
                      <w:sz w:val="24"/>
                    </w:rPr>
                    <w:t>氟喹诺酮类（恩诺沙星、环丙沙星、沙拉沙星、达氟沙星）</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禽肉</w:t>
                  </w:r>
                </w:p>
              </w:tc>
              <w:tc>
                <w:tcPr>
                  <w:tcW w:type="dxa" w:w="10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按</w:t>
                  </w:r>
                  <w:r>
                    <w:rPr>
                      <w:rFonts w:ascii="宋体" w:hAnsi="宋体" w:cs="宋体" w:eastAsia="宋体"/>
                      <w:sz w:val="24"/>
                    </w:rPr>
                    <w:t>GB 31658.17</w:t>
                  </w:r>
                </w:p>
                <w:p>
                  <w:pPr>
                    <w:pStyle w:val="null3"/>
                    <w:jc w:val="left"/>
                  </w:pPr>
                  <w:r>
                    <w:rPr>
                      <w:rFonts w:ascii="宋体" w:hAnsi="宋体" w:cs="宋体" w:eastAsia="宋体"/>
                      <w:sz w:val="24"/>
                    </w:rPr>
                    <w:t>或</w:t>
                  </w:r>
                  <w:r>
                    <w:rPr>
                      <w:rFonts w:ascii="宋体" w:hAnsi="宋体" w:cs="宋体" w:eastAsia="宋体"/>
                      <w:sz w:val="24"/>
                    </w:rPr>
                    <w:t>GB/T 21316或禽蛋和禽肉中氟喹诺酮类药物及金刚烷胺残留量的测定 液相色谱-串联质谱法操作细则（中国农业科学院农业质量标准与检测技术研究所自建方法）进行检测</w:t>
                  </w:r>
                </w:p>
              </w:tc>
            </w:tr>
            <w:tr>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常规药物</w:t>
                  </w:r>
                  <w:r>
                    <w:rPr>
                      <w:rFonts w:ascii="宋体" w:hAnsi="宋体" w:cs="宋体" w:eastAsia="宋体"/>
                      <w:sz w:val="24"/>
                    </w:rPr>
                    <w:t>抗菌增效剂（甲氧苄啶）</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禽肉</w:t>
                  </w:r>
                </w:p>
              </w:tc>
              <w:tc>
                <w:tcPr>
                  <w:tcW w:type="dxa" w:w="1021"/>
                  <w:vMerge/>
                  <w:tcBorders>
                    <w:top w:val="none" w:color="000000" w:sz="4"/>
                    <w:left w:val="single" w:color="000000" w:sz="4"/>
                    <w:bottom w:val="single" w:color="000000" w:sz="4"/>
                    <w:right w:val="single" w:color="000000" w:sz="4"/>
                  </w:tcBorders>
                </w:tcPr>
                <w:p/>
              </w:tc>
            </w:tr>
            <w:tr>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食品动物中停止使用药物</w:t>
                  </w:r>
                  <w:r>
                    <w:rPr>
                      <w:rFonts w:ascii="宋体" w:hAnsi="宋体" w:cs="宋体" w:eastAsia="宋体"/>
                      <w:sz w:val="24"/>
                    </w:rPr>
                    <w:t>氟喹诺酮类（氧氟沙星、培氟沙星、诺氟沙星、洛美沙星）</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禽蛋</w:t>
                  </w:r>
                </w:p>
              </w:tc>
              <w:tc>
                <w:tcPr>
                  <w:tcW w:type="dxa" w:w="1021"/>
                  <w:vMerge/>
                  <w:tcBorders>
                    <w:top w:val="none" w:color="000000" w:sz="4"/>
                    <w:left w:val="single" w:color="000000" w:sz="4"/>
                    <w:bottom w:val="single" w:color="000000" w:sz="4"/>
                    <w:right w:val="single" w:color="000000" w:sz="4"/>
                  </w:tcBorders>
                </w:tcPr>
                <w:p/>
              </w:tc>
            </w:tr>
            <w:tr>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食品动物中停止使用药物</w:t>
                  </w:r>
                  <w:r>
                    <w:rPr>
                      <w:rFonts w:ascii="宋体" w:hAnsi="宋体" w:cs="宋体" w:eastAsia="宋体"/>
                      <w:sz w:val="24"/>
                    </w:rPr>
                    <w:t>金刚烷胺</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禽肉、禽蛋</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按</w:t>
                  </w:r>
                  <w:r>
                    <w:rPr>
                      <w:rFonts w:ascii="宋体" w:hAnsi="宋体" w:cs="宋体" w:eastAsia="宋体"/>
                      <w:sz w:val="24"/>
                    </w:rPr>
                    <w:t>GB 31660.5或禽蛋和禽肉中氟喹诺酮类药物及金刚烷胺残留量的测定 液相色谱-串联质谱法操作细则（中国农业科学院农业质量标准与检测技术研究所自建方法）进行检测</w:t>
                  </w:r>
                </w:p>
              </w:tc>
            </w:tr>
            <w:tr>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常规药物</w:t>
                  </w:r>
                  <w:r>
                    <w:rPr>
                      <w:rFonts w:ascii="宋体" w:hAnsi="宋体" w:cs="宋体" w:eastAsia="宋体"/>
                      <w:sz w:val="24"/>
                    </w:rPr>
                    <w:t>酰胺醇类（氟苯尼考、氟苯尼考胺和甲砜霉素）</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禽肉</w:t>
                  </w:r>
                </w:p>
              </w:tc>
              <w:tc>
                <w:tcPr>
                  <w:tcW w:type="dxa" w:w="10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按</w:t>
                  </w:r>
                  <w:r>
                    <w:rPr>
                      <w:rFonts w:ascii="宋体" w:hAnsi="宋体" w:cs="宋体" w:eastAsia="宋体"/>
                      <w:sz w:val="24"/>
                    </w:rPr>
                    <w:t>GB 31658.20或禽肉和禽蛋中酰酮醇类药物及代谢残留量的测定 液相色谱-串联质谱法（中国农业科学院农业质量标准与检测技术研究所自建方法）进行检测</w:t>
                  </w:r>
                </w:p>
              </w:tc>
            </w:tr>
            <w:tr>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产蛋期不得使用药物</w:t>
                  </w:r>
                  <w:r>
                    <w:rPr>
                      <w:rFonts w:ascii="宋体" w:hAnsi="宋体" w:cs="宋体" w:eastAsia="宋体"/>
                      <w:sz w:val="24"/>
                    </w:rPr>
                    <w:t>酰胺醇类（氟苯尼考、氟苯尼考胺、甲砜霉素）</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禽蛋</w:t>
                  </w:r>
                </w:p>
              </w:tc>
              <w:tc>
                <w:tcPr>
                  <w:tcW w:type="dxa" w:w="1021"/>
                  <w:vMerge/>
                  <w:tcBorders>
                    <w:top w:val="none" w:color="000000" w:sz="4"/>
                    <w:left w:val="single" w:color="000000" w:sz="4"/>
                    <w:bottom w:val="single" w:color="000000" w:sz="4"/>
                    <w:right w:val="single" w:color="000000" w:sz="4"/>
                  </w:tcBorders>
                </w:tcPr>
                <w:p/>
              </w:tc>
            </w:tr>
            <w:tr>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禁用药物</w:t>
                  </w:r>
                  <w:r>
                    <w:rPr>
                      <w:rFonts w:ascii="宋体" w:hAnsi="宋体" w:cs="宋体" w:eastAsia="宋体"/>
                      <w:sz w:val="24"/>
                    </w:rPr>
                    <w:t>酰胺醇类（氯霉素）</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禽肉、禽蛋</w:t>
                  </w:r>
                </w:p>
              </w:tc>
              <w:tc>
                <w:tcPr>
                  <w:tcW w:type="dxa" w:w="1021"/>
                  <w:vMerge/>
                  <w:tcBorders>
                    <w:top w:val="none" w:color="000000" w:sz="4"/>
                    <w:left w:val="single" w:color="000000" w:sz="4"/>
                    <w:bottom w:val="single" w:color="000000" w:sz="4"/>
                    <w:right w:val="single" w:color="000000" w:sz="4"/>
                  </w:tcBorders>
                </w:tcPr>
                <w:p/>
              </w:tc>
            </w:tr>
          </w:tbl>
          <w:p>
            <w:pPr>
              <w:pStyle w:val="null3"/>
              <w:ind w:left="420" w:firstLine="240"/>
              <w:jc w:val="both"/>
            </w:pPr>
            <w:r>
              <w:rPr>
                <w:rFonts w:ascii="宋体" w:hAnsi="宋体" w:cs="宋体" w:eastAsia="宋体"/>
                <w:sz w:val="24"/>
              </w:rPr>
              <w:t>（二）种植业产品定量监测内容（监督抽查）</w:t>
            </w:r>
          </w:p>
          <w:p>
            <w:pPr>
              <w:pStyle w:val="null3"/>
              <w:ind w:firstLine="480"/>
              <w:jc w:val="both"/>
            </w:pPr>
            <w:r>
              <w:rPr>
                <w:rFonts w:ascii="宋体" w:hAnsi="宋体" w:cs="宋体" w:eastAsia="宋体"/>
                <w:sz w:val="24"/>
              </w:rPr>
              <w:t>种植业产品监督抽查内容：委托第三方检测公司对长安区生产企业、合作社、家庭农场、小农户的种植产品（蔬菜、水果）进行监督抽查，抽样种植产品</w:t>
            </w:r>
            <w:r>
              <w:rPr>
                <w:rFonts w:ascii="宋体" w:hAnsi="宋体" w:cs="宋体" w:eastAsia="宋体"/>
                <w:sz w:val="24"/>
              </w:rPr>
              <w:t>252批次。种植产品产品样品明细、监测项目和监测方法（定量监测）内容详见下表：</w:t>
            </w:r>
          </w:p>
          <w:p>
            <w:pPr>
              <w:pStyle w:val="null3"/>
              <w:jc w:val="center"/>
            </w:pPr>
            <w:r>
              <w:rPr>
                <w:rFonts w:ascii="宋体" w:hAnsi="宋体" w:cs="宋体" w:eastAsia="宋体"/>
                <w:sz w:val="24"/>
              </w:rPr>
              <w:t>长安区种植业产品监督抽查样品明细表</w:t>
            </w:r>
          </w:p>
          <w:tbl>
            <w:tblPr>
              <w:tblInd w:type="dxa" w:w="90"/>
              <w:tblBorders>
                <w:top w:val="none" w:color="000000" w:sz="4"/>
                <w:left w:val="none" w:color="000000" w:sz="4"/>
                <w:bottom w:val="none" w:color="000000" w:sz="4"/>
                <w:right w:val="none" w:color="000000" w:sz="4"/>
                <w:insideH w:val="none"/>
                <w:insideV w:val="none"/>
              </w:tblBorders>
            </w:tblPr>
            <w:tblGrid>
              <w:gridCol w:w="806"/>
              <w:gridCol w:w="848"/>
              <w:gridCol w:w="889"/>
            </w:tblGrid>
            <w:tr>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监测区域</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监测品种</w:t>
                  </w:r>
                </w:p>
              </w:tc>
              <w:tc>
                <w:tcPr>
                  <w:tcW w:type="dxa" w:w="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监测数量</w:t>
                  </w:r>
                </w:p>
              </w:tc>
            </w:tr>
            <w:tr>
              <w:tc>
                <w:tcPr>
                  <w:tcW w:type="dxa" w:w="8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生产基地</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蔬菜</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w:t>
                  </w:r>
                </w:p>
              </w:tc>
            </w:tr>
            <w:tr>
              <w:tc>
                <w:tcPr>
                  <w:tcW w:type="dxa" w:w="806"/>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水果</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177</w:t>
                  </w:r>
                </w:p>
              </w:tc>
            </w:tr>
            <w:tr>
              <w:tc>
                <w:tcPr>
                  <w:tcW w:type="dxa" w:w="16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合计</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252</w:t>
                  </w:r>
                </w:p>
              </w:tc>
            </w:tr>
            <w:tr>
              <w:tc>
                <w:tcPr>
                  <w:tcW w:type="dxa" w:w="25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其中：</w:t>
                  </w:r>
                  <w:r>
                    <w:rPr>
                      <w:rFonts w:ascii="宋体" w:hAnsi="宋体" w:cs="宋体" w:eastAsia="宋体"/>
                      <w:sz w:val="24"/>
                    </w:rPr>
                    <w:t>“三棵菜”抽检数量不低于25批次，“二品一标”认证产品抽检数量不低于25批次，小农户抽样数量不低于13批次。</w:t>
                  </w:r>
                </w:p>
              </w:tc>
            </w:tr>
          </w:tbl>
          <w:p>
            <w:pPr>
              <w:pStyle w:val="null3"/>
              <w:jc w:val="center"/>
            </w:pPr>
            <w:r>
              <w:rPr>
                <w:rFonts w:ascii="宋体" w:hAnsi="宋体" w:cs="宋体" w:eastAsia="宋体"/>
                <w:sz w:val="24"/>
              </w:rPr>
              <w:t>蔬菜、食用菌、水果监测参数和检测方法（定量监测）</w:t>
            </w:r>
          </w:p>
          <w:tbl>
            <w:tblPr>
              <w:tblBorders>
                <w:top w:val="none" w:color="000000" w:sz="4"/>
                <w:left w:val="none" w:color="000000" w:sz="4"/>
                <w:bottom w:val="none" w:color="000000" w:sz="4"/>
                <w:right w:val="none" w:color="000000" w:sz="4"/>
                <w:insideH w:val="none"/>
                <w:insideV w:val="none"/>
              </w:tblBorders>
            </w:tblPr>
            <w:tblGrid>
              <w:gridCol w:w="1927"/>
              <w:gridCol w:w="626"/>
            </w:tblGrid>
            <w:tr>
              <w:tc>
                <w:tcPr>
                  <w:tcW w:type="dxa" w:w="19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监测参数</w:t>
                  </w:r>
                </w:p>
              </w:tc>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检测方法</w:t>
                  </w:r>
                </w:p>
              </w:tc>
            </w:tr>
            <w:tr>
              <w:tc>
                <w:tcPr>
                  <w:tcW w:type="dxa" w:w="1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禁用农药</w:t>
                  </w:r>
                  <w:r>
                    <w:rPr>
                      <w:rFonts w:ascii="宋体" w:hAnsi="宋体" w:cs="宋体" w:eastAsia="宋体"/>
                      <w:sz w:val="24"/>
                    </w:rPr>
                    <w:t>甲胺磷、对硫磷、甲基对硫磷、六六六、三氯杀螨醇；</w:t>
                  </w:r>
                </w:p>
                <w:p>
                  <w:pPr>
                    <w:pStyle w:val="null3"/>
                    <w:jc w:val="both"/>
                  </w:pPr>
                  <w:r>
                    <w:rPr>
                      <w:rFonts w:ascii="宋体" w:hAnsi="宋体" w:cs="宋体" w:eastAsia="宋体"/>
                      <w:sz w:val="24"/>
                      <w:b/>
                    </w:rPr>
                    <w:t>限用农药</w:t>
                  </w:r>
                  <w:r>
                    <w:rPr>
                      <w:rFonts w:ascii="宋体" w:hAnsi="宋体" w:cs="宋体" w:eastAsia="宋体"/>
                      <w:sz w:val="24"/>
                    </w:rPr>
                    <w:t>甲拌磷（包括甲拌磷砜和甲拌磷亚砜）、氧乐果、水胺硫磷、甲基异柳磷、克百威（包括</w:t>
                  </w:r>
                  <w:r>
                    <w:rPr>
                      <w:rFonts w:ascii="宋体" w:hAnsi="宋体" w:cs="宋体" w:eastAsia="宋体"/>
                      <w:sz w:val="24"/>
                    </w:rPr>
                    <w:t>3-羟基克百威)、涕灭威（包括涕灭威砜和涕灭威亚砜）、氟虫腈（包括氟甲腈、氟虫腈硫醚、氟虫腈砜）、毒死蜱、三唑磷、乐果、乙酰甲胺磷、灭多威、硫环磷、氯唑磷、内吸磷；</w:t>
                  </w:r>
                </w:p>
                <w:p>
                  <w:pPr>
                    <w:pStyle w:val="null3"/>
                    <w:jc w:val="both"/>
                  </w:pPr>
                  <w:r>
                    <w:rPr>
                      <w:rFonts w:ascii="宋体" w:hAnsi="宋体" w:cs="宋体" w:eastAsia="宋体"/>
                      <w:sz w:val="24"/>
                      <w:b/>
                    </w:rPr>
                    <w:t>常规农药</w:t>
                  </w:r>
                  <w:r>
                    <w:rPr>
                      <w:rFonts w:ascii="宋体" w:hAnsi="宋体" w:cs="宋体" w:eastAsia="宋体"/>
                      <w:sz w:val="24"/>
                    </w:rPr>
                    <w:t>敌敌畏、杀螟硫磷、丙溴磷、马拉硫磷、亚胺硫磷、倍硫磷、辛硫磷、氯氰菊酯、氰戊菊酯、溴氰菊酯、甲氰菊酯、联苯菊酯、氯氟氰菊酯、氟氯氰菊酯、氯吡脲、除虫脲、灭幼脲、吡虫啉、啶虫脒、哒螨灵、阿维菌素、甲氨基阿维菌素苯甲酸盐、虫螨氰、噻虫嗪、氟啶脲、异菌脲、五氯硝基苯、三唑酮、百菌清、腐霉利、乙烯菌核利、多菌灵、苯醚甲环唑、嘧霉胺、烯酰吗啉、咪鲜胺、嘧菌酯、二甲戊灵、灭蝇胺、甲霜灵、霜霉威、多效唑、氯虫苯甲酰胺、氯菊酯（异构体之和）、醚菊酯、虫酰肼、吡唑醚菌酯、戊唑醇</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按</w:t>
                  </w:r>
                  <w:r>
                    <w:rPr>
                      <w:rFonts w:ascii="宋体" w:hAnsi="宋体" w:cs="宋体" w:eastAsia="宋体"/>
                      <w:sz w:val="24"/>
                    </w:rPr>
                    <w:t>GB/T20769</w:t>
                  </w:r>
                </w:p>
                <w:p>
                  <w:pPr>
                    <w:pStyle w:val="null3"/>
                    <w:jc w:val="left"/>
                  </w:pPr>
                  <w:r>
                    <w:rPr>
                      <w:rFonts w:ascii="宋体" w:hAnsi="宋体" w:cs="宋体" w:eastAsia="宋体"/>
                      <w:sz w:val="24"/>
                    </w:rPr>
                    <w:t>或</w:t>
                  </w:r>
                  <w:r>
                    <w:rPr>
                      <w:rFonts w:ascii="宋体" w:hAnsi="宋体" w:cs="宋体" w:eastAsia="宋体"/>
                      <w:sz w:val="24"/>
                    </w:rPr>
                    <w:t>GB 23200.113</w:t>
                  </w:r>
                </w:p>
                <w:p>
                  <w:pPr>
                    <w:pStyle w:val="null3"/>
                    <w:jc w:val="left"/>
                  </w:pPr>
                  <w:r>
                    <w:rPr>
                      <w:rFonts w:ascii="宋体" w:hAnsi="宋体" w:cs="宋体" w:eastAsia="宋体"/>
                      <w:sz w:val="24"/>
                    </w:rPr>
                    <w:t>或</w:t>
                  </w:r>
                  <w:r>
                    <w:rPr>
                      <w:rFonts w:ascii="宋体" w:hAnsi="宋体" w:cs="宋体" w:eastAsia="宋体"/>
                      <w:sz w:val="24"/>
                    </w:rPr>
                    <w:t>GB 23200.121</w:t>
                  </w:r>
                </w:p>
                <w:p>
                  <w:pPr>
                    <w:pStyle w:val="null3"/>
                    <w:jc w:val="left"/>
                  </w:pPr>
                  <w:r>
                    <w:rPr>
                      <w:rFonts w:ascii="宋体" w:hAnsi="宋体" w:cs="宋体" w:eastAsia="宋体"/>
                      <w:sz w:val="24"/>
                    </w:rPr>
                    <w:t>或</w:t>
                  </w:r>
                  <w:r>
                    <w:rPr>
                      <w:rFonts w:ascii="宋体" w:hAnsi="宋体" w:cs="宋体" w:eastAsia="宋体"/>
                      <w:sz w:val="24"/>
                    </w:rPr>
                    <w:t>NY/T 761</w:t>
                  </w:r>
                  <w:r>
                    <w:rPr>
                      <w:rFonts w:ascii="宋体" w:hAnsi="宋体" w:cs="宋体" w:eastAsia="宋体"/>
                      <w:sz w:val="24"/>
                    </w:rPr>
                    <w:t>进行检测。</w:t>
                  </w:r>
                </w:p>
              </w:tc>
            </w:tr>
            <w:tr>
              <w:tc>
                <w:tcPr>
                  <w:tcW w:type="dxa" w:w="1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重金属</w:t>
                  </w:r>
                  <w:r>
                    <w:rPr>
                      <w:rFonts w:ascii="宋体" w:hAnsi="宋体" w:cs="宋体" w:eastAsia="宋体"/>
                      <w:sz w:val="24"/>
                    </w:rPr>
                    <w:t>铅、砷</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按</w:t>
                  </w:r>
                  <w:r>
                    <w:rPr>
                      <w:rFonts w:ascii="宋体" w:hAnsi="宋体" w:cs="宋体" w:eastAsia="宋体"/>
                      <w:sz w:val="24"/>
                    </w:rPr>
                    <w:t xml:space="preserve">GB 5009.12-2017和 </w:t>
                  </w:r>
                  <w:r>
                    <w:rPr>
                      <w:rFonts w:ascii="宋体" w:hAnsi="宋体" w:cs="宋体" w:eastAsia="宋体"/>
                      <w:sz w:val="24"/>
                    </w:rPr>
                    <w:t>GB 5009.11-2014进行检测。由市级机构承担。</w:t>
                  </w:r>
                </w:p>
              </w:tc>
            </w:tr>
          </w:tbl>
          <w:p>
            <w:pPr>
              <w:pStyle w:val="null3"/>
              <w:jc w:val="both"/>
            </w:pPr>
            <w:r>
              <w:rPr>
                <w:rFonts w:ascii="宋体" w:hAnsi="宋体" w:cs="宋体" w:eastAsia="宋体"/>
                <w:sz w:val="24"/>
              </w:rPr>
              <w:t>（三）水产品监督抽查内容</w:t>
            </w:r>
          </w:p>
          <w:p>
            <w:pPr>
              <w:pStyle w:val="null3"/>
              <w:ind w:firstLine="480"/>
              <w:jc w:val="both"/>
            </w:pPr>
            <w:r>
              <w:rPr>
                <w:rFonts w:ascii="宋体" w:hAnsi="宋体" w:cs="宋体" w:eastAsia="宋体"/>
                <w:sz w:val="24"/>
              </w:rPr>
              <w:t>委托第三方公司对水产品定量检测</w:t>
            </w:r>
            <w:r>
              <w:rPr>
                <w:rFonts w:ascii="宋体" w:hAnsi="宋体" w:cs="宋体" w:eastAsia="宋体"/>
                <w:sz w:val="24"/>
              </w:rPr>
              <w:t>17批次，水产品样品明细、监测项目和监测方法（定量监测）详见下表：</w:t>
            </w:r>
          </w:p>
          <w:p>
            <w:pPr>
              <w:pStyle w:val="null3"/>
              <w:jc w:val="center"/>
            </w:pPr>
            <w:r>
              <w:rPr>
                <w:rFonts w:ascii="宋体" w:hAnsi="宋体" w:cs="宋体" w:eastAsia="宋体"/>
                <w:sz w:val="24"/>
              </w:rPr>
              <w:t>长安区水产品监测样品明细表（监督抽查）</w:t>
            </w:r>
          </w:p>
          <w:tbl>
            <w:tblPr>
              <w:tblInd w:type="dxa" w:w="90"/>
              <w:tblBorders>
                <w:top w:val="none" w:color="000000" w:sz="4"/>
                <w:left w:val="none" w:color="000000" w:sz="4"/>
                <w:bottom w:val="none" w:color="000000" w:sz="4"/>
                <w:right w:val="none" w:color="000000" w:sz="4"/>
                <w:insideH w:val="none"/>
                <w:insideV w:val="none"/>
              </w:tblBorders>
            </w:tblPr>
            <w:tblGrid>
              <w:gridCol w:w="807"/>
              <w:gridCol w:w="845"/>
              <w:gridCol w:w="891"/>
            </w:tblGrid>
            <w:tr>
              <w:tc>
                <w:tcPr>
                  <w:tcW w:type="dxa" w:w="8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监测区域</w:t>
                  </w:r>
                </w:p>
              </w:tc>
              <w:tc>
                <w:tcPr>
                  <w:tcW w:type="dxa" w:w="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监测品种</w:t>
                  </w:r>
                </w:p>
              </w:tc>
              <w:tc>
                <w:tcPr>
                  <w:tcW w:type="dxa" w:w="8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监测数量</w:t>
                  </w:r>
                </w:p>
              </w:tc>
            </w:tr>
            <w:tr>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暂养池（水产品养殖场）</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草鱼</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r>
            <w:tr>
              <w:tc>
                <w:tcPr>
                  <w:tcW w:type="dxa" w:w="807"/>
                  <w:vMerge/>
                  <w:tcBorders>
                    <w:top w:val="none" w:color="000000" w:sz="4"/>
                    <w:left w:val="singl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鲤鱼</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r>
            <w:tr>
              <w:tc>
                <w:tcPr>
                  <w:tcW w:type="dxa" w:w="807"/>
                  <w:vMerge/>
                  <w:tcBorders>
                    <w:top w:val="none" w:color="000000" w:sz="4"/>
                    <w:left w:val="singl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鲫鱼</w:t>
                  </w:r>
                </w:p>
                <w:p>
                  <w:pPr>
                    <w:pStyle w:val="null3"/>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r>
            <w:tr>
              <w:tc>
                <w:tcPr>
                  <w:tcW w:type="dxa" w:w="807"/>
                  <w:vMerge/>
                  <w:tcBorders>
                    <w:top w:val="none" w:color="000000" w:sz="4"/>
                    <w:left w:val="singl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鲢鱼</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r>
            <w:tr>
              <w:tc>
                <w:tcPr>
                  <w:tcW w:type="dxa" w:w="807"/>
                  <w:vMerge/>
                  <w:tcBorders>
                    <w:top w:val="none" w:color="000000" w:sz="4"/>
                    <w:left w:val="singl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鳙鱼</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r>
            <w:tr>
              <w:tc>
                <w:tcPr>
                  <w:tcW w:type="dxa" w:w="807"/>
                  <w:vMerge/>
                  <w:tcBorders>
                    <w:top w:val="none" w:color="000000" w:sz="4"/>
                    <w:left w:val="singl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罗非鱼</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r>
            <w:tr>
              <w:tc>
                <w:tcPr>
                  <w:tcW w:type="dxa" w:w="807"/>
                  <w:vMerge/>
                  <w:tcBorders>
                    <w:top w:val="none" w:color="000000" w:sz="4"/>
                    <w:left w:val="singl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无鳞鲤</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r>
            <w:tr>
              <w:tc>
                <w:tcPr>
                  <w:tcW w:type="dxa" w:w="16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合计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r>
          </w:tbl>
          <w:p>
            <w:pPr>
              <w:pStyle w:val="null3"/>
              <w:jc w:val="center"/>
            </w:pPr>
            <w:r>
              <w:rPr>
                <w:rFonts w:ascii="宋体" w:hAnsi="宋体" w:cs="宋体" w:eastAsia="宋体"/>
                <w:sz w:val="24"/>
              </w:rPr>
              <w:t>水产品例行监测参数和检测方法（定量监测）</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监测参数</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检测方法</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禁用药物</w:t>
                  </w:r>
                  <w:r>
                    <w:rPr>
                      <w:rFonts w:ascii="宋体" w:hAnsi="宋体" w:cs="宋体" w:eastAsia="宋体"/>
                      <w:sz w:val="24"/>
                    </w:rPr>
                    <w:t>氯霉素</w:t>
                  </w:r>
                </w:p>
              </w:tc>
              <w:tc>
                <w:tcPr>
                  <w:tcW w:type="dxa" w:w="1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按</w:t>
                  </w:r>
                  <w:r>
                    <w:rPr>
                      <w:rFonts w:ascii="宋体" w:hAnsi="宋体" w:cs="宋体" w:eastAsia="宋体"/>
                      <w:sz w:val="24"/>
                    </w:rPr>
                    <w:t>GB/T 20756-2006</w:t>
                  </w:r>
                </w:p>
                <w:p>
                  <w:pPr>
                    <w:pStyle w:val="null3"/>
                    <w:jc w:val="both"/>
                  </w:pPr>
                  <w:r>
                    <w:rPr>
                      <w:rFonts w:ascii="宋体" w:hAnsi="宋体" w:cs="宋体" w:eastAsia="宋体"/>
                      <w:sz w:val="24"/>
                    </w:rPr>
                    <w:t>或</w:t>
                  </w:r>
                  <w:r>
                    <w:rPr>
                      <w:rFonts w:ascii="宋体" w:hAnsi="宋体" w:cs="宋体" w:eastAsia="宋体"/>
                      <w:sz w:val="24"/>
                    </w:rPr>
                    <w:t>GB 31656.16-2022进行检测</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常规药物</w:t>
                  </w:r>
                  <w:r>
                    <w:rPr>
                      <w:rFonts w:ascii="宋体" w:hAnsi="宋体" w:cs="宋体" w:eastAsia="宋体"/>
                      <w:sz w:val="24"/>
                    </w:rPr>
                    <w:t>酰胺醇类（甲砜霉素、氟苯尼考和氟苯尼考胺）</w:t>
                  </w:r>
                </w:p>
              </w:tc>
              <w:tc>
                <w:tcPr>
                  <w:tcW w:type="dxa" w:w="1276"/>
                  <w:vMerge/>
                  <w:tcBorders>
                    <w:top w:val="none" w:color="000000" w:sz="4"/>
                    <w:left w:val="single" w:color="000000" w:sz="4"/>
                    <w:bottom w:val="single" w:color="000000" w:sz="4"/>
                    <w:right w:val="single" w:color="000000" w:sz="4"/>
                  </w:tcBorders>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禁用药物</w:t>
                  </w:r>
                  <w:r>
                    <w:rPr>
                      <w:rFonts w:ascii="宋体" w:hAnsi="宋体" w:cs="宋体" w:eastAsia="宋体"/>
                      <w:sz w:val="24"/>
                    </w:rPr>
                    <w:t>孔雀石绿（包括有色孔雀石绿和无色孔雀石绿）</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按</w:t>
                  </w:r>
                  <w:r>
                    <w:rPr>
                      <w:rFonts w:ascii="宋体" w:hAnsi="宋体" w:cs="宋体" w:eastAsia="宋体"/>
                      <w:sz w:val="24"/>
                    </w:rPr>
                    <w:t>GB/T 20361-2006</w:t>
                  </w:r>
                </w:p>
                <w:p>
                  <w:pPr>
                    <w:pStyle w:val="null3"/>
                    <w:jc w:val="both"/>
                  </w:pPr>
                  <w:r>
                    <w:rPr>
                      <w:rFonts w:ascii="宋体" w:hAnsi="宋体" w:cs="宋体" w:eastAsia="宋体"/>
                      <w:sz w:val="24"/>
                    </w:rPr>
                    <w:t>或</w:t>
                  </w:r>
                  <w:r>
                    <w:rPr>
                      <w:rFonts w:ascii="宋体" w:hAnsi="宋体" w:cs="宋体" w:eastAsia="宋体"/>
                      <w:sz w:val="24"/>
                    </w:rPr>
                    <w:t>GB/T 19857-2005进行检测</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禁用药物</w:t>
                  </w:r>
                  <w:r>
                    <w:rPr>
                      <w:rFonts w:ascii="宋体" w:hAnsi="宋体" w:cs="宋体" w:eastAsia="宋体"/>
                      <w:sz w:val="24"/>
                    </w:rPr>
                    <w:t>硝基呋喃类代谢物（包括呋喃唑酮代谢物</w:t>
                  </w:r>
                  <w:r>
                    <w:rPr>
                      <w:rFonts w:ascii="宋体" w:hAnsi="宋体" w:cs="宋体" w:eastAsia="宋体"/>
                      <w:sz w:val="24"/>
                    </w:rPr>
                    <w:t>AOZ、呋喃它酮代谢物AMOZ、呋喃西林代谢物SEM和呋喃妥因代谢物AHD）</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按</w:t>
                  </w:r>
                  <w:r>
                    <w:rPr>
                      <w:rFonts w:ascii="宋体" w:hAnsi="宋体" w:cs="宋体" w:eastAsia="宋体"/>
                      <w:sz w:val="24"/>
                    </w:rPr>
                    <w:t>GB 31656.13-2021</w:t>
                  </w:r>
                </w:p>
                <w:p>
                  <w:pPr>
                    <w:pStyle w:val="null3"/>
                    <w:jc w:val="both"/>
                  </w:pPr>
                  <w:r>
                    <w:rPr>
                      <w:rFonts w:ascii="宋体" w:hAnsi="宋体" w:cs="宋体" w:eastAsia="宋体"/>
                      <w:sz w:val="24"/>
                    </w:rPr>
                    <w:t>或农业部</w:t>
                  </w:r>
                  <w:r>
                    <w:rPr>
                      <w:rFonts w:ascii="宋体" w:hAnsi="宋体" w:cs="宋体" w:eastAsia="宋体"/>
                      <w:sz w:val="24"/>
                    </w:rPr>
                    <w:t>783号公告-1-2006进行检测</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常规药物</w:t>
                  </w:r>
                  <w:r>
                    <w:rPr>
                      <w:rFonts w:ascii="宋体" w:hAnsi="宋体" w:cs="宋体" w:eastAsia="宋体"/>
                      <w:sz w:val="24"/>
                    </w:rPr>
                    <w:t>磺胺类（包括磺胺噻唑、磺胺嘧啶、磺胺甲基嘧啶、磺胺二甲基嘧啶、磺胺甲基嘧异噁唑、磺胺多辛、磺胺异噁唑、磺胺喹噁啉、磺胺间甲氧嘧啶、磺胺间二甲氧嘧啶、磺胺氯哒嗪和磺胺甲噻二唑等</w:t>
                  </w:r>
                  <w:r>
                    <w:rPr>
                      <w:rFonts w:ascii="宋体" w:hAnsi="宋体" w:cs="宋体" w:eastAsia="宋体"/>
                      <w:sz w:val="24"/>
                    </w:rPr>
                    <w:t>12种）</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按农业部</w:t>
                  </w:r>
                  <w:r>
                    <w:rPr>
                      <w:rFonts w:ascii="宋体" w:hAnsi="宋体" w:cs="宋体" w:eastAsia="宋体"/>
                      <w:sz w:val="24"/>
                    </w:rPr>
                    <w:t>1077号公告-1-2008进行检测</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常规药物</w:t>
                  </w:r>
                  <w:r>
                    <w:rPr>
                      <w:rFonts w:ascii="宋体" w:hAnsi="宋体" w:cs="宋体" w:eastAsia="宋体"/>
                      <w:sz w:val="24"/>
                    </w:rPr>
                    <w:t>氟喹诺酮类（包括恩诺沙星、环丙沙星）</w:t>
                  </w:r>
                </w:p>
              </w:tc>
              <w:tc>
                <w:tcPr>
                  <w:tcW w:type="dxa" w:w="1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按农业部</w:t>
                  </w:r>
                  <w:r>
                    <w:rPr>
                      <w:rFonts w:ascii="宋体" w:hAnsi="宋体" w:cs="宋体" w:eastAsia="宋体"/>
                      <w:sz w:val="24"/>
                    </w:rPr>
                    <w:t>1077号公告-1-2008进行检测</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食品动物中停止使用药物</w:t>
                  </w:r>
                  <w:r>
                    <w:rPr>
                      <w:rFonts w:ascii="宋体" w:hAnsi="宋体" w:cs="宋体" w:eastAsia="宋体"/>
                      <w:sz w:val="24"/>
                    </w:rPr>
                    <w:t>氟喹诺酮类（诺氟沙星、氧氟沙星、培氟沙星和洛美沙星）</w:t>
                  </w:r>
                </w:p>
              </w:tc>
              <w:tc>
                <w:tcPr>
                  <w:tcW w:type="dxa" w:w="1276"/>
                  <w:vMerge/>
                  <w:tcBorders>
                    <w:top w:val="none" w:color="000000" w:sz="4"/>
                    <w:left w:val="single" w:color="000000" w:sz="4"/>
                    <w:bottom w:val="single" w:color="000000" w:sz="4"/>
                    <w:right w:val="single" w:color="000000" w:sz="4"/>
                  </w:tcBorders>
                </w:tcPr>
                <w:p/>
              </w:tc>
            </w:tr>
          </w:tbl>
          <w:p/>
        </w:tc>
      </w:tr>
    </w:tbl>
    <w:p>
      <w:pPr>
        <w:pStyle w:val="null3"/>
        <w:outlineLvl w:val="2"/>
      </w:pPr>
      <w:r>
        <w:rPr>
          <w:sz w:val="28"/>
          <w:b/>
        </w:rPr>
        <w:t>3.2.3人员配置要求</w:t>
      </w:r>
    </w:p>
    <w:p>
      <w:pPr>
        <w:pStyle w:val="null3"/>
      </w:pPr>
      <w:r>
        <w:rPr/>
        <w:t>采购包1：</w:t>
      </w:r>
    </w:p>
    <w:p>
      <w:pPr>
        <w:pStyle w:val="null3"/>
      </w:pPr>
      <w:r>
        <w:rPr/>
        <w:t>见服务要求</w:t>
      </w:r>
    </w:p>
    <w:p>
      <w:pPr>
        <w:pStyle w:val="null3"/>
        <w:outlineLvl w:val="2"/>
      </w:pPr>
      <w:r>
        <w:rPr>
          <w:sz w:val="28"/>
          <w:b/>
        </w:rPr>
        <w:t>3.2.4设施设备要求</w:t>
      </w:r>
    </w:p>
    <w:p>
      <w:pPr>
        <w:pStyle w:val="null3"/>
      </w:pPr>
      <w:r>
        <w:rPr/>
        <w:t>采购包1：</w:t>
      </w:r>
    </w:p>
    <w:p>
      <w:pPr>
        <w:pStyle w:val="null3"/>
      </w:pPr>
      <w:r>
        <w:rPr/>
        <w:t>见服务要求</w:t>
      </w:r>
    </w:p>
    <w:p>
      <w:pPr>
        <w:pStyle w:val="null3"/>
        <w:outlineLvl w:val="2"/>
      </w:pPr>
      <w:r>
        <w:rPr>
          <w:sz w:val="28"/>
          <w:b/>
        </w:rPr>
        <w:t>3.2.5其他要求</w:t>
      </w:r>
    </w:p>
    <w:p>
      <w:pPr>
        <w:pStyle w:val="null3"/>
      </w:pPr>
      <w:r>
        <w:rPr/>
        <w:t>采购包1：</w:t>
      </w:r>
    </w:p>
    <w:p>
      <w:pPr>
        <w:pStyle w:val="null3"/>
      </w:pPr>
      <w:r>
        <w:rPr/>
        <w:t>1.抽检结果期限：乙方在签收样品当日起15个工作日内，须向甲方提交该批次样品检测报告。对特殊、涉案样品的检验，3天出结果，7天出报告。 2.质量标准：依照检测样品的国家标准。对没有国家标准的，可按照地方标准、卫生标准、质量标准和相关的行业标准、企业标准、产品标签明示值或国家明文规定的限量值及国家指定的特定检验方法等进行检验。 3.质量要求：供应商要提高抽样靶向性，严格按照相关国家标准要求进行检测，并实施必要的质量控制措施。</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6个月</w:t>
      </w:r>
    </w:p>
    <w:p>
      <w:pPr>
        <w:pStyle w:val="null3"/>
        <w:outlineLvl w:val="3"/>
      </w:pPr>
      <w:r>
        <w:rPr>
          <w:sz w:val="24"/>
          <w:b/>
        </w:rPr>
        <w:t>3.3.2服务地点</w:t>
      </w:r>
    </w:p>
    <w:p>
      <w:pPr>
        <w:pStyle w:val="null3"/>
      </w:pPr>
      <w:r>
        <w:rPr/>
        <w:t>采购包1：</w:t>
      </w:r>
    </w:p>
    <w:p>
      <w:pPr>
        <w:pStyle w:val="null3"/>
      </w:pPr>
      <w:r>
        <w:rPr/>
        <w:t>长安区</w:t>
      </w:r>
    </w:p>
    <w:p>
      <w:pPr>
        <w:pStyle w:val="null3"/>
        <w:outlineLvl w:val="3"/>
      </w:pPr>
      <w:r>
        <w:rPr>
          <w:sz w:val="24"/>
          <w:b/>
        </w:rPr>
        <w:t>3.3.3考核（验收）标准和方法</w:t>
      </w:r>
    </w:p>
    <w:p>
      <w:pPr>
        <w:pStyle w:val="null3"/>
      </w:pPr>
      <w:r>
        <w:rPr/>
        <w:t>采购包1：</w:t>
      </w:r>
    </w:p>
    <w:p>
      <w:pPr>
        <w:pStyle w:val="null3"/>
      </w:pPr>
      <w:r>
        <w:rPr/>
        <w:t>1.供应商抽样工作要留有照片资料，在抽检工作完成后随检验报告一同递交采购人，并只可向采购人报告检验结果，未经采购人同意供应商不得私自向社会或被检单位透漏抽检相关信息。所有检测工作完毕后，由采购人签发《验收合格单》。 2.验收不合格的成交单位，必须在接到通知后5个日历日内确保检验报告合格。若接到通知后7个日历日内验收仍不合格，采购人可提出索赔或取消与其签署的成交合同。采购代理机构将把成交资格授予评审排序下一名的成交供应商。 3.验收依据 3.1合同文本及合同补充文件（条款）。 3.2竞争性磋商文件。 3.3成交单位的响应文件。 3.4相关的检验报告。 3.5国家或行业相应的标准、规范。</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抽检工作完成后，乙方向甲方出具项目检测报告，经甲方上级单位验收。验收合格报财政局一次性支付合同价款</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①依据《中华人民共和国民法典》、《中华人民共和国政府采购法》、《中华人民共 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②解决争议的方法：合同执行中发生争议的，当事人双方应协商解决。协商达不成一致时，可依法向甲方所在地法院起诉。</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响应文件，同时线下提交纸质响应文件正本壹份、副本两份、电子版壹份(U盘，内容包括Word版本、签字盖章扫描后的PDF版本响应文件)；2、纸质响应文件正副本分别胶装，与电子版一并密封递交；3、线下响应文件递交截止时间：同电子化交易系统截止时间；4、线下递交文件地点：安屹项目管理有限公司(西安市经济技术开发区文景商务广场C座2501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具有独立承担民事责任能力，提供供应商合法注册的法人或其他组织的营业执照/事业单位法人证书/非企业专业服务机构执业许可证/民办非企业单位登记证书，自然人参与的提供其身份证明。（2）财务状况报告：提供具有财务审计资质单位出具的2022年度或2023年度财务报告（成立时间至磋商时间不足一年的可提供成立后任意时段的资产负债表）或磋商前六个月内其基本账户银行出具的资信证明或政府采购信用担保机构出具的磋商担保函。（3）税收缴纳证明：提供截止至磋商时间前六个月内任意一个月的纳税凭据或完税证明，依法免税的应提供相关证明材料。（4）社会保障资金缴纳证明：提供截止至磋商时间前六个月内任意一个月的社保缴费凭据或社保机构开具的社会保险参保缴费情况证明，依法不需要缴纳社会保障资金的供应商应提供相关证明。（5）提供具有履行本合同所必需的设备和专业技术能力的说明及承诺；（提供书面说明及承诺，加盖供应商公章）（6）提供参加政府采购活动前三年内在经营活动中没有重大违法记录的书面声明。（提供书面声明，加盖供应商公章）</w:t>
            </w:r>
          </w:p>
        </w:tc>
        <w:tc>
          <w:tcPr>
            <w:tcW w:type="dxa" w:w="1661"/>
          </w:tcPr>
          <w:p>
            <w:pPr>
              <w:pStyle w:val="null3"/>
            </w:pPr>
            <w:r>
              <w:rPr/>
              <w:t>供应商应提交的相关资格证明文件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提供具有财务审计资质单位出具的2022年度或2023年度财务报告（成立时间至磋商时间不足 一年的可提供成立后任意时段的资产负债表）或磋商前六个月内其基本账户银行出具的资信证 明或政府采购信用担保机构出具的磋商担保函。供应商需在项目电子化交易系统中按要求上传相应证明文件并进行电子签章。</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法定代表人授权书（附法定代表人、被授权人身份证复印件）,法定代表人直接参加磋商，须提供法定代表人身份证明。</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资质证书</w:t>
            </w:r>
          </w:p>
        </w:tc>
        <w:tc>
          <w:tcPr>
            <w:tcW w:type="dxa" w:w="3322"/>
          </w:tcPr>
          <w:p>
            <w:pPr>
              <w:pStyle w:val="null3"/>
            </w:pPr>
            <w:r>
              <w:rPr/>
              <w:t>具备合法有效的CMA检验检测机构资质认定证书、CATL农产品质量安全检测机构考核合格证书。</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t>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磋商报价表</w:t>
            </w:r>
          </w:p>
        </w:tc>
      </w:tr>
      <w:tr>
        <w:tc>
          <w:tcPr>
            <w:tcW w:type="dxa" w:w="831"/>
          </w:tcPr>
          <w:p>
            <w:pPr>
              <w:pStyle w:val="null3"/>
            </w:pPr>
            <w:r>
              <w:rPr/>
              <w:t>2</w:t>
            </w:r>
          </w:p>
        </w:tc>
        <w:tc>
          <w:tcPr>
            <w:tcW w:type="dxa" w:w="2492"/>
          </w:tcPr>
          <w:p>
            <w:pPr>
              <w:pStyle w:val="null3"/>
            </w:pPr>
            <w:r>
              <w:rPr/>
              <w:t>磋商响应文件盖章签字</w:t>
            </w:r>
          </w:p>
        </w:tc>
        <w:tc>
          <w:tcPr>
            <w:tcW w:type="dxa" w:w="3322"/>
          </w:tcPr>
          <w:p>
            <w:pPr>
              <w:pStyle w:val="null3"/>
            </w:pPr>
            <w:r>
              <w:rPr/>
              <w:t>按照竞争性磋商文件的规定和要求，在指定的页面落款处加盖公章并由法定代表人或被授权人签字（或盖章）。</w:t>
            </w:r>
          </w:p>
        </w:tc>
        <w:tc>
          <w:tcPr>
            <w:tcW w:type="dxa" w:w="1661"/>
          </w:tcPr>
          <w:p>
            <w:pPr>
              <w:pStyle w:val="null3"/>
            </w:pPr>
            <w:r>
              <w:rPr/>
              <w:t>响应文件封面 供应商应提交的相关资格证明文件 服务内容及服务邀请应答表 中小企业声明函 残疾人福利性单位声明函 承诺书 标的清单 报价表 磋商报价表 响应函 监狱企业的证明文件 商务条款响应偏离表</w:t>
            </w:r>
          </w:p>
        </w:tc>
      </w:tr>
      <w:tr>
        <w:tc>
          <w:tcPr>
            <w:tcW w:type="dxa" w:w="831"/>
          </w:tcPr>
          <w:p>
            <w:pPr>
              <w:pStyle w:val="null3"/>
            </w:pPr>
            <w:r>
              <w:rPr/>
              <w:t>3</w:t>
            </w:r>
          </w:p>
        </w:tc>
        <w:tc>
          <w:tcPr>
            <w:tcW w:type="dxa" w:w="2492"/>
          </w:tcPr>
          <w:p>
            <w:pPr>
              <w:pStyle w:val="null3"/>
            </w:pPr>
            <w:r>
              <w:rPr/>
              <w:t>磋商有效期</w:t>
            </w:r>
          </w:p>
        </w:tc>
        <w:tc>
          <w:tcPr>
            <w:tcW w:type="dxa" w:w="3322"/>
          </w:tcPr>
          <w:p>
            <w:pPr>
              <w:pStyle w:val="null3"/>
            </w:pPr>
            <w:r>
              <w:rPr/>
              <w:t>符合竞争性磋商文件要求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第一次磋商报价</w:t>
            </w:r>
          </w:p>
        </w:tc>
        <w:tc>
          <w:tcPr>
            <w:tcW w:type="dxa" w:w="3322"/>
          </w:tcPr>
          <w:p>
            <w:pPr>
              <w:pStyle w:val="null3"/>
            </w:pPr>
            <w:r>
              <w:rPr/>
              <w:t>（1）第一次磋商报价表填写符合要求； （2）计量单位、报价货币均符合磋商文件要求； （3）第一次磋商报价未超出采购预算或磋商文件规定的最高限价。</w:t>
            </w:r>
          </w:p>
        </w:tc>
        <w:tc>
          <w:tcPr>
            <w:tcW w:type="dxa" w:w="1661"/>
          </w:tcPr>
          <w:p>
            <w:pPr>
              <w:pStyle w:val="null3"/>
            </w:pPr>
            <w:r>
              <w:rPr/>
              <w:t>标的清单 报价表 磋商报价表</w:t>
            </w:r>
          </w:p>
        </w:tc>
      </w:tr>
      <w:tr>
        <w:tc>
          <w:tcPr>
            <w:tcW w:type="dxa" w:w="831"/>
          </w:tcPr>
          <w:p>
            <w:pPr>
              <w:pStyle w:val="null3"/>
            </w:pPr>
            <w:r>
              <w:rPr/>
              <w:t>5</w:t>
            </w:r>
          </w:p>
        </w:tc>
        <w:tc>
          <w:tcPr>
            <w:tcW w:type="dxa" w:w="2492"/>
          </w:tcPr>
          <w:p>
            <w:pPr>
              <w:pStyle w:val="null3"/>
            </w:pPr>
            <w:r>
              <w:rPr/>
              <w:t>其他情形</w:t>
            </w:r>
          </w:p>
        </w:tc>
        <w:tc>
          <w:tcPr>
            <w:tcW w:type="dxa" w:w="3322"/>
          </w:tcPr>
          <w:p>
            <w:pPr>
              <w:pStyle w:val="null3"/>
            </w:pPr>
            <w:r>
              <w:rPr/>
              <w:t>没有出现法律法规或磋商文件明确规定的其他被视为“无效响应”的情形及未实质性响应磋商文件的情况。</w:t>
            </w:r>
          </w:p>
        </w:tc>
        <w:tc>
          <w:tcPr>
            <w:tcW w:type="dxa" w:w="1661"/>
          </w:tcPr>
          <w:p>
            <w:pPr>
              <w:pStyle w:val="null3"/>
            </w:pPr>
            <w:r>
              <w:rPr/>
              <w:t>服务内容及服务邀请应答表 承诺书 商务条款响应偏离表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针对本项目的工作部署、抽样（抽检分离）、样品接收及核查、检验、异议处理、保密工作的实施等内容制定详细服务方案。满足项目要求，方案内容丰富全面、科学合理、规范的计8（含）-12分；4（含）-8分；不满足项目要求，方案内容不完善、不规范的计0.1-4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技术响应方案</w:t>
            </w:r>
          </w:p>
        </w:tc>
      </w:tr>
      <w:tr>
        <w:tc>
          <w:tcPr>
            <w:tcW w:type="dxa" w:w="831"/>
            <w:vMerge/>
          </w:tcPr>
          <w:p/>
        </w:tc>
        <w:tc>
          <w:tcPr>
            <w:tcW w:type="dxa" w:w="1661"/>
          </w:tcPr>
          <w:p>
            <w:pPr>
              <w:pStyle w:val="null3"/>
            </w:pPr>
            <w:r>
              <w:rPr/>
              <w:t>能力验证比对考核</w:t>
            </w:r>
          </w:p>
        </w:tc>
        <w:tc>
          <w:tcPr>
            <w:tcW w:type="dxa" w:w="2492"/>
          </w:tcPr>
          <w:p>
            <w:pPr>
              <w:pStyle w:val="null3"/>
            </w:pPr>
            <w:r>
              <w:rPr/>
              <w:t xml:space="preserve"> 供应商参加过农业体系省部级及以上的能力验证比对考核，每通过一项得2分，最高得8分，提供相关证明材料。</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技术响应方案</w:t>
            </w:r>
          </w:p>
        </w:tc>
      </w:tr>
      <w:tr>
        <w:tc>
          <w:tcPr>
            <w:tcW w:type="dxa" w:w="831"/>
            <w:vMerge/>
          </w:tcPr>
          <w:p/>
        </w:tc>
        <w:tc>
          <w:tcPr>
            <w:tcW w:type="dxa" w:w="1661"/>
          </w:tcPr>
          <w:p>
            <w:pPr>
              <w:pStyle w:val="null3"/>
            </w:pPr>
            <w:r>
              <w:rPr/>
              <w:t>质控措施</w:t>
            </w:r>
          </w:p>
        </w:tc>
        <w:tc>
          <w:tcPr>
            <w:tcW w:type="dxa" w:w="2492"/>
          </w:tcPr>
          <w:p>
            <w:pPr>
              <w:pStyle w:val="null3"/>
            </w:pPr>
            <w:r>
              <w:rPr/>
              <w:t>供应商有有效质控措施，包括设备、试剂的期间核查，报告数据审核、参加能力验证、不同实验室之间比对、机构内部比对、盲样检验等，质量控制应有适当的方法和计划并加以评价。质控措施完整、全面的计4（含）-8分；质控措施一般的计0.1（含）-4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技术响应方案</w:t>
            </w:r>
          </w:p>
        </w:tc>
      </w:tr>
      <w:tr>
        <w:tc>
          <w:tcPr>
            <w:tcW w:type="dxa" w:w="831"/>
            <w:vMerge/>
          </w:tcPr>
          <w:p/>
        </w:tc>
        <w:tc>
          <w:tcPr>
            <w:tcW w:type="dxa" w:w="1661"/>
          </w:tcPr>
          <w:p>
            <w:pPr>
              <w:pStyle w:val="null3"/>
            </w:pPr>
            <w:r>
              <w:rPr/>
              <w:t>服务质量和进度的保证措施</w:t>
            </w:r>
          </w:p>
        </w:tc>
        <w:tc>
          <w:tcPr>
            <w:tcW w:type="dxa" w:w="2492"/>
          </w:tcPr>
          <w:p>
            <w:pPr>
              <w:pStyle w:val="null3"/>
            </w:pPr>
            <w:r>
              <w:rPr/>
              <w:t>服务质量和进度的保证措施：对本项目详细的进度和后期服务措施承诺，且具体、可行、全面、合理，能够考虑并满足委托人服务的多种需求。满足项目要求，方案内容丰富全面、科学合理、规范的计7（含）-10分；基本满足项目要求，方案内容比较全面、科学合理、规范的计3（含）-7分；不满足项目要求，方案内容不完善、不规范的计0.1-3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技术响应方案</w:t>
            </w:r>
          </w:p>
        </w:tc>
      </w:tr>
      <w:tr>
        <w:tc>
          <w:tcPr>
            <w:tcW w:type="dxa" w:w="831"/>
            <w:vMerge/>
          </w:tcPr>
          <w:p/>
        </w:tc>
        <w:tc>
          <w:tcPr>
            <w:tcW w:type="dxa" w:w="1661"/>
          </w:tcPr>
          <w:p>
            <w:pPr>
              <w:pStyle w:val="null3"/>
            </w:pPr>
            <w:r>
              <w:rPr/>
              <w:t>管理制度</w:t>
            </w:r>
          </w:p>
        </w:tc>
        <w:tc>
          <w:tcPr>
            <w:tcW w:type="dxa" w:w="2492"/>
          </w:tcPr>
          <w:p>
            <w:pPr>
              <w:pStyle w:val="null3"/>
            </w:pPr>
            <w:r>
              <w:rPr/>
              <w:t>具有完善的农产品安全检测制度、检验档案管理制度、责任追究制度等管理制度。制度类别详细，内容全面、完善的计3（含）-5分；制度一般的计0.1-3分。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技术响应方案</w:t>
            </w:r>
          </w:p>
        </w:tc>
      </w:tr>
      <w:tr>
        <w:tc>
          <w:tcPr>
            <w:tcW w:type="dxa" w:w="831"/>
            <w:vMerge/>
          </w:tcPr>
          <w:p/>
        </w:tc>
        <w:tc>
          <w:tcPr>
            <w:tcW w:type="dxa" w:w="1661"/>
          </w:tcPr>
          <w:p>
            <w:pPr>
              <w:pStyle w:val="null3"/>
            </w:pPr>
            <w:r>
              <w:rPr/>
              <w:t>团队人员配置①</w:t>
            </w:r>
          </w:p>
        </w:tc>
        <w:tc>
          <w:tcPr>
            <w:tcW w:type="dxa" w:w="2492"/>
          </w:tcPr>
          <w:p>
            <w:pPr>
              <w:pStyle w:val="null3"/>
            </w:pPr>
            <w:r>
              <w:rPr/>
              <w:t>拟投入的团队人员配置（项目管理、技术、服务人员）专业合理，人员配备齐全、岗位职责明确。团队人员配置合理、齐全、清晰计3（含）-5分；团队人员配置模糊的计0.1-3分。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技术响应方案</w:t>
            </w:r>
          </w:p>
        </w:tc>
      </w:tr>
      <w:tr>
        <w:tc>
          <w:tcPr>
            <w:tcW w:type="dxa" w:w="831"/>
            <w:vMerge/>
          </w:tcPr>
          <w:p/>
        </w:tc>
        <w:tc>
          <w:tcPr>
            <w:tcW w:type="dxa" w:w="1661"/>
          </w:tcPr>
          <w:p>
            <w:pPr>
              <w:pStyle w:val="null3"/>
            </w:pPr>
            <w:r>
              <w:rPr/>
              <w:t>团队人员配置②</w:t>
            </w:r>
          </w:p>
        </w:tc>
        <w:tc>
          <w:tcPr>
            <w:tcW w:type="dxa" w:w="2492"/>
          </w:tcPr>
          <w:p>
            <w:pPr>
              <w:pStyle w:val="null3"/>
            </w:pPr>
            <w:r>
              <w:rPr/>
              <w:t>拟投入本项目人员有中级或以上技术职称的（提供职称证复印件），每提供一个计0.5分，最多计5分。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技术响应方案</w:t>
            </w:r>
          </w:p>
        </w:tc>
      </w:tr>
      <w:tr>
        <w:tc>
          <w:tcPr>
            <w:tcW w:type="dxa" w:w="831"/>
            <w:vMerge/>
          </w:tcPr>
          <w:p/>
        </w:tc>
        <w:tc>
          <w:tcPr>
            <w:tcW w:type="dxa" w:w="1661"/>
          </w:tcPr>
          <w:p>
            <w:pPr>
              <w:pStyle w:val="null3"/>
            </w:pPr>
            <w:r>
              <w:rPr/>
              <w:t>认证证书</w:t>
            </w:r>
          </w:p>
        </w:tc>
        <w:tc>
          <w:tcPr>
            <w:tcW w:type="dxa" w:w="2492"/>
          </w:tcPr>
          <w:p>
            <w:pPr>
              <w:pStyle w:val="null3"/>
            </w:pPr>
            <w:r>
              <w:rPr/>
              <w:t>供应商实验室获得CNAS认证计2分，不提供不计分。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技术响应方案</w:t>
            </w:r>
          </w:p>
        </w:tc>
      </w:tr>
      <w:tr>
        <w:tc>
          <w:tcPr>
            <w:tcW w:type="dxa" w:w="831"/>
            <w:vMerge/>
          </w:tcPr>
          <w:p/>
        </w:tc>
        <w:tc>
          <w:tcPr>
            <w:tcW w:type="dxa" w:w="1661"/>
          </w:tcPr>
          <w:p>
            <w:pPr>
              <w:pStyle w:val="null3"/>
            </w:pPr>
            <w:r>
              <w:rPr/>
              <w:t>实验场所面积</w:t>
            </w:r>
          </w:p>
        </w:tc>
        <w:tc>
          <w:tcPr>
            <w:tcW w:type="dxa" w:w="2492"/>
          </w:tcPr>
          <w:p>
            <w:pPr>
              <w:pStyle w:val="null3"/>
            </w:pPr>
            <w:r>
              <w:rPr/>
              <w:t>供应商有实验室且实验场所面积达到7000平方米及以上的计4分；实验场所面积7000平方米以下，4000平方米及以上的计2分；实验场所面积4000平方米以下的计1分。提供房产证或房屋租赁合同，不提供不计分。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技术响应方案</w:t>
            </w:r>
          </w:p>
        </w:tc>
      </w:tr>
      <w:tr>
        <w:tc>
          <w:tcPr>
            <w:tcW w:type="dxa" w:w="831"/>
            <w:vMerge/>
          </w:tcPr>
          <w:p/>
        </w:tc>
        <w:tc>
          <w:tcPr>
            <w:tcW w:type="dxa" w:w="1661"/>
          </w:tcPr>
          <w:p>
            <w:pPr>
              <w:pStyle w:val="null3"/>
            </w:pPr>
            <w:r>
              <w:rPr/>
              <w:t>专用冷库</w:t>
            </w:r>
          </w:p>
        </w:tc>
        <w:tc>
          <w:tcPr>
            <w:tcW w:type="dxa" w:w="2492"/>
          </w:tcPr>
          <w:p>
            <w:pPr>
              <w:pStyle w:val="null3"/>
            </w:pPr>
            <w:r>
              <w:rPr/>
              <w:t>实验室设施配置（配有农产品冷藏样品存储的专用冷库，提供证明材料），冷库面积≥300 平方米得3分；冷库面积 300平方米以下得1分，不提供不计分。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技术响应方案</w:t>
            </w:r>
          </w:p>
        </w:tc>
      </w:tr>
      <w:tr>
        <w:tc>
          <w:tcPr>
            <w:tcW w:type="dxa" w:w="831"/>
            <w:vMerge/>
          </w:tcPr>
          <w:p/>
        </w:tc>
        <w:tc>
          <w:tcPr>
            <w:tcW w:type="dxa" w:w="1661"/>
          </w:tcPr>
          <w:p>
            <w:pPr>
              <w:pStyle w:val="null3"/>
            </w:pPr>
            <w:r>
              <w:rPr/>
              <w:t>检验项目符合率</w:t>
            </w:r>
          </w:p>
        </w:tc>
        <w:tc>
          <w:tcPr>
            <w:tcW w:type="dxa" w:w="2492"/>
          </w:tcPr>
          <w:p>
            <w:pPr>
              <w:pStyle w:val="null3"/>
            </w:pPr>
            <w:r>
              <w:rPr/>
              <w:t>检验项目应当覆盖本次所列参数项目需求。供应商针对拟检验项目检测技术指标通过CMA/CATL认证，符合率100%得6分；符合率95%-99%得4分；符合率90%-94%得2分；低于90%得1分。以取得陕西省当地实验室的能力附表为准。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技术响应方案</w:t>
            </w:r>
          </w:p>
        </w:tc>
      </w:tr>
      <w:tr>
        <w:tc>
          <w:tcPr>
            <w:tcW w:type="dxa" w:w="831"/>
            <w:vMerge/>
          </w:tcPr>
          <w:p/>
        </w:tc>
        <w:tc>
          <w:tcPr>
            <w:tcW w:type="dxa" w:w="1661"/>
          </w:tcPr>
          <w:p>
            <w:pPr>
              <w:pStyle w:val="null3"/>
            </w:pPr>
            <w:r>
              <w:rPr/>
              <w:t>应急服务</w:t>
            </w:r>
          </w:p>
        </w:tc>
        <w:tc>
          <w:tcPr>
            <w:tcW w:type="dxa" w:w="2492"/>
          </w:tcPr>
          <w:p>
            <w:pPr>
              <w:pStyle w:val="null3"/>
            </w:pPr>
            <w:r>
              <w:rPr/>
              <w:t>能够提供应急服务，有类似业务抽检经验。若管辖区出现应急类事件时，可立即派遣相关人员、车辆在2小时内到达指定地点，配合采购方进行采样、调查，并提出相关技术建议。应急服务内容全面、完善、响应及时的计4（含）-8分，应急服务内容不全面、不完善、响应不及时的0.1-4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技术响应方案</w:t>
            </w:r>
          </w:p>
        </w:tc>
      </w:tr>
      <w:tr>
        <w:tc>
          <w:tcPr>
            <w:tcW w:type="dxa" w:w="831"/>
            <w:vMerge/>
          </w:tcPr>
          <w:p/>
        </w:tc>
        <w:tc>
          <w:tcPr>
            <w:tcW w:type="dxa" w:w="1661"/>
          </w:tcPr>
          <w:p>
            <w:pPr>
              <w:pStyle w:val="null3"/>
            </w:pPr>
            <w:r>
              <w:rPr/>
              <w:t>检验设备</w:t>
            </w:r>
          </w:p>
        </w:tc>
        <w:tc>
          <w:tcPr>
            <w:tcW w:type="dxa" w:w="2492"/>
          </w:tcPr>
          <w:p>
            <w:pPr>
              <w:pStyle w:val="null3"/>
            </w:pPr>
            <w:r>
              <w:rPr/>
              <w:t>检验机构具有高效液相色谱仪、气相色谱仪、紫外分光光度计、原子荧光分光光度计、原子吸收光谱仪、气相-质谱联用仪、超高效液相色谱-三重四级杆质谱联用仪、电感耦合等离子体发射光谱仪（ICP-OES），同种设备不重复加分，每有一种得 0.75 分，最多计6分。（供应商提供每台仪器设备的图片及购置发票和有效期内校准证书等复印件）</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技术响应方案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以来同类项目业绩合同（同一采购人/服务单位的合同仅按一份业绩评审），每提供一份，计2分，满分8分。（以合同为准，合同页码较多的可提供首页、合同内容、金额、时间页、双方盖章页即可，弄虚作假者取消其投标、成交资格。）</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技术响应方案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1、经符合性审查合格的供应商，其磋商报价为有效磋商报价。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4、磋商报价不完整的，不进入磋商基准价的计算，本项得0分。4、本项目专门面向中小企业采购，不再执行价格评审优惠的扶持政策。</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详见附件：服务内容及服务邀请应答表</w:t>
      </w:r>
    </w:p>
    <w:p>
      <w:pPr>
        <w:pStyle w:val="null3"/>
        <w:ind w:firstLine="960"/>
      </w:pPr>
      <w:r>
        <w:rPr/>
        <w:t>详见附件：商务条款响应偏离表</w:t>
      </w:r>
    </w:p>
    <w:p>
      <w:pPr>
        <w:pStyle w:val="null3"/>
        <w:ind w:firstLine="960"/>
      </w:pPr>
      <w:r>
        <w:rPr/>
        <w:t>详见附件：技术响应方案</w:t>
      </w:r>
    </w:p>
    <w:p>
      <w:pPr>
        <w:pStyle w:val="null3"/>
        <w:ind w:firstLine="960"/>
      </w:pPr>
      <w:r>
        <w:rPr/>
        <w:t>详见附件：承诺书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