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技术响应方案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一、服务方案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二、能力验证比对考核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三、质控措施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四、服务质量和进度的保证措施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五、管理制度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六、团队人员配置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认证证书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实验场所面积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专用冷库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检验项目符合率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应急服务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检验设备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业绩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（以上内容按照评分要求进行响应）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十四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竞</w:t>
      </w:r>
      <w:r>
        <w:rPr>
          <w:rFonts w:hint="eastAsia" w:ascii="宋体" w:hAnsi="宋体"/>
          <w:sz w:val="24"/>
        </w:rPr>
        <w:t>争性磋商文件要求的其他资料及供应商认为需要提供的文件和资料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711D03"/>
    <w:multiLevelType w:val="singleLevel"/>
    <w:tmpl w:val="63711D0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4EF13D6C"/>
    <w:rsid w:val="0C6D1AAF"/>
    <w:rsid w:val="38BD4E64"/>
    <w:rsid w:val="46A71178"/>
    <w:rsid w:val="4EF1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145</Characters>
  <Lines>0</Lines>
  <Paragraphs>0</Paragraphs>
  <TotalTime>4</TotalTime>
  <ScaleCrop>false</ScaleCrop>
  <LinksUpToDate>false</LinksUpToDate>
  <CharactersWithSpaces>145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2024-04-24T09:10:00Z</dcterms:created>
  <dc:creator>寒扬</dc:creator>
  <cp:lastModifiedBy>寒扬</cp:lastModifiedBy>
  <dcterms:modified xsi:type="dcterms:W3CDTF">2024-06-26T09:24:55Z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1FF48C34BA384383A049B5AC98191D9F_11</vt:lpwstr>
  </property>
</Properties>
</file>