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8" w:line="220" w:lineRule="auto"/>
        <w:jc w:val="center"/>
        <w:outlineLvl w:val="0"/>
        <w:rPr>
          <w:rFonts w:ascii="宋体" w:hAnsi="宋体" w:eastAsia="宋体" w:cs="宋体"/>
          <w:spacing w:val="6"/>
          <w:sz w:val="29"/>
          <w:szCs w:val="29"/>
          <w:highlight w:val="none"/>
        </w:rPr>
      </w:pPr>
      <w:r>
        <w:rPr>
          <w:rFonts w:ascii="宋体" w:hAnsi="宋体" w:eastAsia="宋体" w:cs="宋体"/>
          <w:spacing w:val="6"/>
          <w:sz w:val="29"/>
          <w:szCs w:val="29"/>
          <w:highlight w:val="none"/>
        </w:rPr>
        <w:t>磋商项目技术、服务、商务及其他要求</w:t>
      </w:r>
    </w:p>
    <w:p>
      <w:pPr>
        <w:pStyle w:val="3"/>
        <w:spacing w:line="334" w:lineRule="auto"/>
        <w:rPr>
          <w:highlight w:val="none"/>
        </w:rPr>
      </w:pPr>
    </w:p>
    <w:p>
      <w:pPr>
        <w:spacing w:before="78" w:line="360" w:lineRule="exact"/>
        <w:ind w:left="371"/>
        <w:rPr>
          <w:rFonts w:ascii="宋体" w:hAnsi="宋体" w:eastAsia="宋体" w:cs="宋体"/>
          <w:spacing w:val="-3"/>
          <w:position w:val="13"/>
          <w:sz w:val="18"/>
          <w:szCs w:val="18"/>
          <w:highlight w:val="none"/>
        </w:rPr>
      </w:pPr>
      <w:r>
        <w:rPr>
          <w:rFonts w:ascii="宋体" w:hAnsi="宋体" w:eastAsia="宋体" w:cs="宋体"/>
          <w:spacing w:val="-3"/>
          <w:position w:val="13"/>
          <w:sz w:val="18"/>
          <w:szCs w:val="18"/>
          <w:highlight w:val="none"/>
        </w:rPr>
        <w:t>（注：带</w:t>
      </w:r>
      <w:r>
        <w:rPr>
          <w:rFonts w:hint="eastAsia" w:ascii="宋体" w:hAnsi="宋体" w:eastAsia="宋体" w:cs="宋体"/>
          <w:spacing w:val="-3"/>
          <w:position w:val="13"/>
          <w:sz w:val="18"/>
          <w:szCs w:val="18"/>
          <w:highlight w:val="none"/>
          <w:lang w:eastAsia="zh-CN"/>
        </w:rPr>
        <w:t>“</w:t>
      </w:r>
      <w:r>
        <w:rPr>
          <w:rFonts w:ascii="宋体" w:hAnsi="宋体" w:eastAsia="宋体" w:cs="宋体"/>
          <w:spacing w:val="-3"/>
          <w:position w:val="13"/>
          <w:sz w:val="18"/>
          <w:szCs w:val="18"/>
          <w:highlight w:val="none"/>
        </w:rPr>
        <w:t>★</w:t>
      </w:r>
      <w:r>
        <w:rPr>
          <w:rFonts w:hint="eastAsia" w:ascii="宋体" w:hAnsi="宋体" w:eastAsia="宋体" w:cs="宋体"/>
          <w:spacing w:val="-3"/>
          <w:position w:val="13"/>
          <w:sz w:val="18"/>
          <w:szCs w:val="18"/>
          <w:highlight w:val="none"/>
          <w:lang w:eastAsia="zh-CN"/>
        </w:rPr>
        <w:t>”</w:t>
      </w:r>
      <w:r>
        <w:rPr>
          <w:rFonts w:ascii="宋体" w:hAnsi="宋体" w:eastAsia="宋体" w:cs="宋体"/>
          <w:spacing w:val="-3"/>
          <w:position w:val="13"/>
          <w:sz w:val="18"/>
          <w:szCs w:val="18"/>
          <w:highlight w:val="none"/>
        </w:rPr>
        <w:t>的参数需求为实质性要求，供应商必须响应并满足的参数需求，采购人、采购代理机构应当根据项目实际需求合理设定，并明确具体要求。带</w:t>
      </w:r>
      <w:r>
        <w:rPr>
          <w:rFonts w:hint="eastAsia" w:ascii="宋体" w:hAnsi="宋体" w:eastAsia="宋体" w:cs="宋体"/>
          <w:spacing w:val="-3"/>
          <w:position w:val="13"/>
          <w:sz w:val="18"/>
          <w:szCs w:val="18"/>
          <w:highlight w:val="none"/>
          <w:lang w:eastAsia="zh-CN"/>
        </w:rPr>
        <w:t>“</w:t>
      </w:r>
      <w:r>
        <w:rPr>
          <w:rFonts w:ascii="宋体" w:hAnsi="宋体" w:eastAsia="宋体" w:cs="宋体"/>
          <w:spacing w:val="-3"/>
          <w:position w:val="13"/>
          <w:sz w:val="18"/>
          <w:szCs w:val="18"/>
          <w:highlight w:val="none"/>
        </w:rPr>
        <w:t>▲</w:t>
      </w:r>
      <w:r>
        <w:rPr>
          <w:rFonts w:hint="eastAsia" w:ascii="宋体" w:hAnsi="宋体" w:eastAsia="宋体" w:cs="宋体"/>
          <w:spacing w:val="-3"/>
          <w:position w:val="13"/>
          <w:sz w:val="18"/>
          <w:szCs w:val="18"/>
          <w:highlight w:val="none"/>
          <w:lang w:eastAsia="zh-CN"/>
        </w:rPr>
        <w:t>”</w:t>
      </w:r>
      <w:r>
        <w:rPr>
          <w:rFonts w:ascii="宋体" w:hAnsi="宋体" w:eastAsia="宋体" w:cs="宋体"/>
          <w:spacing w:val="-3"/>
          <w:position w:val="13"/>
          <w:sz w:val="18"/>
          <w:szCs w:val="18"/>
          <w:highlight w:val="none"/>
        </w:rPr>
        <w:t>号条款为允许负偏离的参数需求，若未响应或者不满足，将在综合评审中予以扣分处理。）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5"/>
        <w:textAlignment w:val="baseline"/>
        <w:outlineLvl w:val="1"/>
        <w:rPr>
          <w:rFonts w:hint="default" w:ascii="Times New Roman" w:hAnsi="Times New Roman" w:eastAsia="宋体" w:cs="Times New Roman"/>
          <w:b/>
          <w:bCs/>
          <w:spacing w:val="15"/>
          <w:sz w:val="28"/>
          <w:szCs w:val="28"/>
          <w:highlight w:val="none"/>
        </w:rPr>
      </w:pPr>
      <w:r>
        <w:rPr>
          <w:rFonts w:hint="eastAsia" w:ascii="Times New Roman" w:hAnsi="Times New Roman" w:eastAsia="宋体" w:cs="Times New Roman"/>
          <w:b/>
          <w:bCs/>
          <w:spacing w:val="15"/>
          <w:sz w:val="28"/>
          <w:szCs w:val="28"/>
          <w:highlight w:val="none"/>
          <w:lang w:val="en-US" w:eastAsia="zh-CN"/>
        </w:rPr>
        <w:t>1</w:t>
      </w:r>
      <w:r>
        <w:rPr>
          <w:rFonts w:hint="default" w:ascii="Times New Roman" w:hAnsi="Times New Roman" w:eastAsia="宋体" w:cs="Times New Roman"/>
          <w:b/>
          <w:bCs/>
          <w:spacing w:val="15"/>
          <w:sz w:val="28"/>
          <w:szCs w:val="28"/>
          <w:highlight w:val="none"/>
        </w:rPr>
        <w:t>.1采购项目概况</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1" w:right="136" w:firstLine="400" w:firstLineChars="200"/>
        <w:textAlignment w:val="baseline"/>
        <w:rPr>
          <w:rFonts w:hint="default" w:ascii="Times New Roman" w:hAnsi="Times New Roman" w:eastAsia="宋体" w:cs="Times New Roman"/>
          <w:color w:val="auto"/>
          <w:sz w:val="18"/>
          <w:szCs w:val="18"/>
          <w:highlight w:val="none"/>
        </w:rPr>
      </w:pPr>
      <w:r>
        <w:rPr>
          <w:rFonts w:hint="eastAsia" w:ascii="Times New Roman" w:hAnsi="Times New Roman" w:eastAsia="宋体" w:cs="Times New Roman"/>
          <w:color w:val="auto"/>
          <w:sz w:val="20"/>
          <w:szCs w:val="20"/>
          <w:highlight w:val="none"/>
          <w:lang w:eastAsia="zh-CN"/>
        </w:rPr>
        <w:t>常宁新区1：1000地形图测绘项目</w:t>
      </w:r>
      <w:r>
        <w:rPr>
          <w:rFonts w:hint="default" w:ascii="Times New Roman" w:hAnsi="Times New Roman" w:eastAsia="宋体" w:cs="Times New Roman"/>
          <w:color w:val="auto"/>
          <w:sz w:val="18"/>
          <w:szCs w:val="18"/>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5"/>
        <w:textAlignment w:val="baseline"/>
        <w:outlineLvl w:val="1"/>
        <w:rPr>
          <w:rFonts w:hint="eastAsia" w:ascii="Times New Roman" w:hAnsi="Times New Roman" w:eastAsia="宋体" w:cs="Times New Roman"/>
          <w:b/>
          <w:bCs/>
          <w:spacing w:val="15"/>
          <w:sz w:val="28"/>
          <w:szCs w:val="28"/>
          <w:highlight w:val="none"/>
          <w:lang w:val="en-US" w:eastAsia="zh-CN"/>
        </w:rPr>
      </w:pPr>
      <w:r>
        <w:rPr>
          <w:rFonts w:hint="eastAsia" w:ascii="Times New Roman" w:hAnsi="Times New Roman" w:eastAsia="宋体" w:cs="Times New Roman"/>
          <w:b/>
          <w:bCs/>
          <w:spacing w:val="15"/>
          <w:sz w:val="28"/>
          <w:szCs w:val="28"/>
          <w:highlight w:val="none"/>
          <w:lang w:val="en-US" w:eastAsia="zh-CN"/>
        </w:rPr>
        <w:t>1.2服务内容及服务要求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5"/>
        <w:textAlignment w:val="baseline"/>
        <w:outlineLvl w:val="1"/>
        <w:rPr>
          <w:rFonts w:hint="default" w:ascii="Times New Roman" w:hAnsi="Times New Roman" w:eastAsia="宋体" w:cs="Times New Roman"/>
          <w:b/>
          <w:bCs/>
          <w:spacing w:val="15"/>
          <w:sz w:val="24"/>
          <w:szCs w:val="24"/>
          <w:highlight w:val="none"/>
          <w:lang w:val="en-US" w:eastAsia="zh-CN"/>
        </w:rPr>
      </w:pPr>
      <w:r>
        <w:rPr>
          <w:rFonts w:hint="eastAsia" w:ascii="Times New Roman" w:hAnsi="Times New Roman" w:eastAsia="宋体" w:cs="Times New Roman"/>
          <w:b/>
          <w:bCs/>
          <w:spacing w:val="15"/>
          <w:sz w:val="28"/>
          <w:szCs w:val="28"/>
          <w:highlight w:val="none"/>
          <w:lang w:val="en-US" w:eastAsia="zh-CN"/>
        </w:rPr>
        <w:t>1</w:t>
      </w:r>
      <w:r>
        <w:rPr>
          <w:rFonts w:hint="eastAsia" w:ascii="Times New Roman" w:hAnsi="Times New Roman" w:eastAsia="宋体" w:cs="Times New Roman"/>
          <w:b/>
          <w:bCs/>
          <w:spacing w:val="15"/>
          <w:sz w:val="24"/>
          <w:szCs w:val="24"/>
          <w:highlight w:val="none"/>
          <w:lang w:val="en-US" w:eastAsia="zh-CN"/>
        </w:rPr>
        <w:t>.2.1服务内容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1" w:right="136" w:firstLine="420" w:firstLineChars="200"/>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采购包1：</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1" w:right="136" w:firstLine="420" w:firstLineChars="200"/>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 xml:space="preserve">采购包预算金额（元）: </w:t>
      </w:r>
      <w:r>
        <w:rPr>
          <w:rFonts w:hint="eastAsia" w:ascii="Times New Roman" w:hAnsi="Times New Roman" w:eastAsia="宋体" w:cs="Times New Roman"/>
          <w:color w:val="auto"/>
          <w:sz w:val="21"/>
          <w:szCs w:val="21"/>
          <w:highlight w:val="none"/>
          <w:lang w:val="en-US" w:eastAsia="zh-CN"/>
        </w:rPr>
        <w:t>7</w:t>
      </w:r>
      <w:r>
        <w:rPr>
          <w:rFonts w:hint="default" w:ascii="Times New Roman" w:hAnsi="Times New Roman" w:eastAsia="宋体" w:cs="Times New Roman"/>
          <w:color w:val="auto"/>
          <w:sz w:val="21"/>
          <w:szCs w:val="21"/>
          <w:highlight w:val="none"/>
        </w:rPr>
        <w:t>10,000.00</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1" w:right="136" w:firstLine="420" w:firstLineChars="200"/>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 xml:space="preserve">采购包最高限价（元）: </w:t>
      </w:r>
      <w:r>
        <w:rPr>
          <w:rFonts w:hint="eastAsia" w:ascii="Times New Roman" w:hAnsi="Times New Roman" w:eastAsia="宋体" w:cs="Times New Roman"/>
          <w:color w:val="auto"/>
          <w:sz w:val="21"/>
          <w:szCs w:val="21"/>
          <w:highlight w:val="none"/>
          <w:lang w:val="en-US" w:eastAsia="zh-CN"/>
        </w:rPr>
        <w:t>7</w:t>
      </w:r>
      <w:r>
        <w:rPr>
          <w:rFonts w:hint="default" w:ascii="Times New Roman" w:hAnsi="Times New Roman" w:eastAsia="宋体" w:cs="Times New Roman"/>
          <w:color w:val="auto"/>
          <w:sz w:val="21"/>
          <w:szCs w:val="21"/>
          <w:highlight w:val="none"/>
        </w:rPr>
        <w:t>10,000.00</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1" w:right="136" w:firstLine="420" w:firstLineChars="200"/>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供应商报价不允许超过标的金额</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1" w:right="136" w:firstLine="420" w:firstLineChars="200"/>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（招单价的）供应商报价不允许超过标的单价</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977"/>
        <w:gridCol w:w="667"/>
        <w:gridCol w:w="1214"/>
        <w:gridCol w:w="574"/>
        <w:gridCol w:w="914"/>
        <w:gridCol w:w="886"/>
        <w:gridCol w:w="1023"/>
        <w:gridCol w:w="1038"/>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tcPr>
          <w:p>
            <w:pPr>
              <w:keepNext w:val="0"/>
              <w:keepLines w:val="0"/>
              <w:pageBreakBefore w:val="0"/>
              <w:widowControl/>
              <w:kinsoku w:val="0"/>
              <w:wordWrap/>
              <w:overflowPunct/>
              <w:topLinePunct w:val="0"/>
              <w:autoSpaceDE w:val="0"/>
              <w:autoSpaceDN w:val="0"/>
              <w:bidi w:val="0"/>
              <w:adjustRightInd w:val="0"/>
              <w:snapToGrid w:val="0"/>
              <w:spacing w:line="360" w:lineRule="auto"/>
              <w:ind w:right="136"/>
              <w:textAlignment w:val="baseline"/>
              <w:rPr>
                <w:rFonts w:hint="eastAsia" w:ascii="Times New Roman" w:hAnsi="Times New Roman" w:eastAsia="宋体" w:cs="Times New Roman"/>
                <w:color w:val="auto"/>
                <w:sz w:val="21"/>
                <w:szCs w:val="21"/>
                <w:highlight w:val="none"/>
                <w:vertAlign w:val="baseline"/>
                <w:lang w:eastAsia="zh-CN"/>
              </w:rPr>
            </w:pPr>
            <w:r>
              <w:rPr>
                <w:rFonts w:hint="eastAsia" w:ascii="Times New Roman" w:hAnsi="Times New Roman" w:eastAsia="宋体" w:cs="Times New Roman"/>
                <w:color w:val="auto"/>
                <w:sz w:val="21"/>
                <w:szCs w:val="21"/>
                <w:highlight w:val="none"/>
                <w:vertAlign w:val="baseline"/>
                <w:lang w:eastAsia="zh-CN"/>
              </w:rPr>
              <w:t>序号</w:t>
            </w:r>
          </w:p>
        </w:tc>
        <w:tc>
          <w:tcPr>
            <w:tcW w:w="1977" w:type="dxa"/>
          </w:tcPr>
          <w:p>
            <w:pPr>
              <w:keepNext w:val="0"/>
              <w:keepLines w:val="0"/>
              <w:pageBreakBefore w:val="0"/>
              <w:widowControl/>
              <w:kinsoku w:val="0"/>
              <w:wordWrap/>
              <w:overflowPunct/>
              <w:topLinePunct w:val="0"/>
              <w:autoSpaceDE w:val="0"/>
              <w:autoSpaceDN w:val="0"/>
              <w:bidi w:val="0"/>
              <w:adjustRightInd w:val="0"/>
              <w:snapToGrid w:val="0"/>
              <w:spacing w:line="360" w:lineRule="auto"/>
              <w:ind w:right="136"/>
              <w:textAlignment w:val="baseline"/>
              <w:rPr>
                <w:rFonts w:hint="eastAsia" w:ascii="Times New Roman" w:hAnsi="Times New Roman" w:eastAsia="宋体" w:cs="Times New Roman"/>
                <w:color w:val="auto"/>
                <w:sz w:val="21"/>
                <w:szCs w:val="21"/>
                <w:highlight w:val="none"/>
                <w:vertAlign w:val="baseline"/>
                <w:lang w:eastAsia="zh-CN"/>
              </w:rPr>
            </w:pPr>
            <w:r>
              <w:rPr>
                <w:rFonts w:hint="eastAsia" w:ascii="Times New Roman" w:hAnsi="Times New Roman" w:eastAsia="宋体" w:cs="Times New Roman"/>
                <w:color w:val="auto"/>
                <w:sz w:val="21"/>
                <w:szCs w:val="21"/>
                <w:highlight w:val="none"/>
                <w:vertAlign w:val="baseline"/>
                <w:lang w:eastAsia="zh-CN"/>
              </w:rPr>
              <w:t>标的名称</w:t>
            </w:r>
          </w:p>
        </w:tc>
        <w:tc>
          <w:tcPr>
            <w:tcW w:w="667" w:type="dxa"/>
          </w:tcPr>
          <w:p>
            <w:pPr>
              <w:keepNext w:val="0"/>
              <w:keepLines w:val="0"/>
              <w:pageBreakBefore w:val="0"/>
              <w:widowControl/>
              <w:kinsoku w:val="0"/>
              <w:wordWrap/>
              <w:overflowPunct/>
              <w:topLinePunct w:val="0"/>
              <w:autoSpaceDE w:val="0"/>
              <w:autoSpaceDN w:val="0"/>
              <w:bidi w:val="0"/>
              <w:adjustRightInd w:val="0"/>
              <w:snapToGrid w:val="0"/>
              <w:spacing w:line="360" w:lineRule="auto"/>
              <w:ind w:right="136"/>
              <w:textAlignment w:val="baseline"/>
              <w:rPr>
                <w:rFonts w:hint="eastAsia" w:ascii="Times New Roman" w:hAnsi="Times New Roman" w:eastAsia="宋体" w:cs="Times New Roman"/>
                <w:color w:val="auto"/>
                <w:sz w:val="21"/>
                <w:szCs w:val="21"/>
                <w:highlight w:val="none"/>
                <w:vertAlign w:val="baseline"/>
                <w:lang w:eastAsia="zh-CN"/>
              </w:rPr>
            </w:pPr>
            <w:r>
              <w:rPr>
                <w:rFonts w:hint="eastAsia" w:ascii="Times New Roman" w:hAnsi="Times New Roman" w:eastAsia="宋体" w:cs="Times New Roman"/>
                <w:color w:val="auto"/>
                <w:sz w:val="21"/>
                <w:szCs w:val="21"/>
                <w:highlight w:val="none"/>
                <w:vertAlign w:val="baseline"/>
                <w:lang w:eastAsia="zh-CN"/>
              </w:rPr>
              <w:t>数量</w:t>
            </w:r>
          </w:p>
        </w:tc>
        <w:tc>
          <w:tcPr>
            <w:tcW w:w="1214" w:type="dxa"/>
          </w:tcPr>
          <w:p>
            <w:pPr>
              <w:keepNext w:val="0"/>
              <w:keepLines w:val="0"/>
              <w:pageBreakBefore w:val="0"/>
              <w:widowControl/>
              <w:kinsoku w:val="0"/>
              <w:wordWrap/>
              <w:overflowPunct/>
              <w:topLinePunct w:val="0"/>
              <w:autoSpaceDE w:val="0"/>
              <w:autoSpaceDN w:val="0"/>
              <w:bidi w:val="0"/>
              <w:adjustRightInd w:val="0"/>
              <w:snapToGrid w:val="0"/>
              <w:spacing w:line="360" w:lineRule="auto"/>
              <w:ind w:right="136"/>
              <w:textAlignment w:val="baseline"/>
              <w:rPr>
                <w:rFonts w:hint="eastAsia" w:ascii="Times New Roman" w:hAnsi="Times New Roman" w:eastAsia="宋体" w:cs="Times New Roman"/>
                <w:color w:val="auto"/>
                <w:sz w:val="21"/>
                <w:szCs w:val="21"/>
                <w:highlight w:val="none"/>
                <w:vertAlign w:val="baseline"/>
                <w:lang w:eastAsia="zh-CN"/>
              </w:rPr>
            </w:pPr>
            <w:r>
              <w:rPr>
                <w:rFonts w:hint="eastAsia" w:ascii="Times New Roman" w:hAnsi="Times New Roman" w:eastAsia="宋体" w:cs="Times New Roman"/>
                <w:color w:val="auto"/>
                <w:sz w:val="21"/>
                <w:szCs w:val="21"/>
                <w:highlight w:val="none"/>
                <w:vertAlign w:val="baseline"/>
                <w:lang w:eastAsia="zh-CN"/>
              </w:rPr>
              <w:t>标的金额（元）</w:t>
            </w:r>
          </w:p>
        </w:tc>
        <w:tc>
          <w:tcPr>
            <w:tcW w:w="574" w:type="dxa"/>
          </w:tcPr>
          <w:p>
            <w:pPr>
              <w:keepNext w:val="0"/>
              <w:keepLines w:val="0"/>
              <w:pageBreakBefore w:val="0"/>
              <w:widowControl/>
              <w:kinsoku w:val="0"/>
              <w:wordWrap/>
              <w:overflowPunct/>
              <w:topLinePunct w:val="0"/>
              <w:autoSpaceDE w:val="0"/>
              <w:autoSpaceDN w:val="0"/>
              <w:bidi w:val="0"/>
              <w:adjustRightInd w:val="0"/>
              <w:snapToGrid w:val="0"/>
              <w:spacing w:line="360" w:lineRule="auto"/>
              <w:ind w:right="136"/>
              <w:textAlignment w:val="baseline"/>
              <w:rPr>
                <w:rFonts w:hint="default" w:ascii="Times New Roman" w:hAnsi="Times New Roman" w:eastAsia="宋体" w:cs="Times New Roman"/>
                <w:color w:val="auto"/>
                <w:sz w:val="21"/>
                <w:szCs w:val="21"/>
                <w:highlight w:val="none"/>
                <w:vertAlign w:val="baseline"/>
              </w:rPr>
            </w:pPr>
            <w:r>
              <w:rPr>
                <w:rFonts w:hint="eastAsia" w:ascii="Times New Roman" w:hAnsi="Times New Roman" w:eastAsia="宋体" w:cs="Times New Roman"/>
                <w:color w:val="auto"/>
                <w:sz w:val="21"/>
                <w:szCs w:val="21"/>
                <w:highlight w:val="none"/>
                <w:vertAlign w:val="baseline"/>
                <w:lang w:eastAsia="zh-CN"/>
              </w:rPr>
              <w:t>计量单位</w:t>
            </w:r>
          </w:p>
        </w:tc>
        <w:tc>
          <w:tcPr>
            <w:tcW w:w="914" w:type="dxa"/>
          </w:tcPr>
          <w:p>
            <w:pPr>
              <w:keepNext w:val="0"/>
              <w:keepLines w:val="0"/>
              <w:pageBreakBefore w:val="0"/>
              <w:widowControl/>
              <w:kinsoku w:val="0"/>
              <w:wordWrap/>
              <w:overflowPunct/>
              <w:topLinePunct w:val="0"/>
              <w:autoSpaceDE w:val="0"/>
              <w:autoSpaceDN w:val="0"/>
              <w:bidi w:val="0"/>
              <w:adjustRightInd w:val="0"/>
              <w:snapToGrid w:val="0"/>
              <w:spacing w:line="360" w:lineRule="auto"/>
              <w:ind w:right="136"/>
              <w:textAlignment w:val="baseline"/>
              <w:rPr>
                <w:rFonts w:hint="eastAsia" w:ascii="Times New Roman" w:hAnsi="Times New Roman" w:eastAsia="宋体" w:cs="Times New Roman"/>
                <w:color w:val="auto"/>
                <w:sz w:val="21"/>
                <w:szCs w:val="21"/>
                <w:highlight w:val="none"/>
                <w:vertAlign w:val="baseline"/>
                <w:lang w:eastAsia="zh-CN"/>
              </w:rPr>
            </w:pPr>
            <w:r>
              <w:rPr>
                <w:rFonts w:hint="eastAsia" w:ascii="Times New Roman" w:hAnsi="Times New Roman" w:eastAsia="宋体" w:cs="Times New Roman"/>
                <w:color w:val="auto"/>
                <w:sz w:val="21"/>
                <w:szCs w:val="21"/>
                <w:highlight w:val="none"/>
                <w:vertAlign w:val="baseline"/>
                <w:lang w:eastAsia="zh-CN"/>
              </w:rPr>
              <w:t>所属行业</w:t>
            </w:r>
          </w:p>
        </w:tc>
        <w:tc>
          <w:tcPr>
            <w:tcW w:w="886" w:type="dxa"/>
          </w:tcPr>
          <w:p>
            <w:pPr>
              <w:keepNext w:val="0"/>
              <w:keepLines w:val="0"/>
              <w:pageBreakBefore w:val="0"/>
              <w:widowControl/>
              <w:kinsoku w:val="0"/>
              <w:wordWrap/>
              <w:overflowPunct/>
              <w:topLinePunct w:val="0"/>
              <w:autoSpaceDE w:val="0"/>
              <w:autoSpaceDN w:val="0"/>
              <w:bidi w:val="0"/>
              <w:adjustRightInd w:val="0"/>
              <w:snapToGrid w:val="0"/>
              <w:spacing w:line="360" w:lineRule="auto"/>
              <w:ind w:right="136"/>
              <w:textAlignment w:val="baseline"/>
              <w:rPr>
                <w:rFonts w:hint="eastAsia" w:ascii="Times New Roman" w:hAnsi="Times New Roman" w:eastAsia="宋体" w:cs="Times New Roman"/>
                <w:color w:val="auto"/>
                <w:sz w:val="21"/>
                <w:szCs w:val="21"/>
                <w:highlight w:val="none"/>
                <w:vertAlign w:val="baseline"/>
                <w:lang w:eastAsia="zh-CN"/>
              </w:rPr>
            </w:pPr>
            <w:r>
              <w:rPr>
                <w:rFonts w:hint="eastAsia" w:ascii="Times New Roman" w:hAnsi="Times New Roman" w:eastAsia="宋体" w:cs="Times New Roman"/>
                <w:color w:val="auto"/>
                <w:sz w:val="21"/>
                <w:szCs w:val="21"/>
                <w:highlight w:val="none"/>
                <w:vertAlign w:val="baseline"/>
                <w:lang w:eastAsia="zh-CN"/>
              </w:rPr>
              <w:t>是否核心产品</w:t>
            </w:r>
          </w:p>
        </w:tc>
        <w:tc>
          <w:tcPr>
            <w:tcW w:w="1023" w:type="dxa"/>
          </w:tcPr>
          <w:p>
            <w:pPr>
              <w:keepNext w:val="0"/>
              <w:keepLines w:val="0"/>
              <w:pageBreakBefore w:val="0"/>
              <w:widowControl/>
              <w:kinsoku w:val="0"/>
              <w:wordWrap/>
              <w:overflowPunct/>
              <w:topLinePunct w:val="0"/>
              <w:autoSpaceDE w:val="0"/>
              <w:autoSpaceDN w:val="0"/>
              <w:bidi w:val="0"/>
              <w:adjustRightInd w:val="0"/>
              <w:snapToGrid w:val="0"/>
              <w:spacing w:line="360" w:lineRule="auto"/>
              <w:ind w:right="136"/>
              <w:textAlignment w:val="baseline"/>
              <w:rPr>
                <w:rFonts w:hint="eastAsia" w:ascii="Times New Roman" w:hAnsi="Times New Roman" w:eastAsia="宋体" w:cs="Times New Roman"/>
                <w:color w:val="auto"/>
                <w:sz w:val="21"/>
                <w:szCs w:val="21"/>
                <w:highlight w:val="none"/>
                <w:vertAlign w:val="baseline"/>
                <w:lang w:eastAsia="zh-CN"/>
              </w:rPr>
            </w:pPr>
            <w:r>
              <w:rPr>
                <w:rFonts w:hint="eastAsia" w:ascii="Times New Roman" w:hAnsi="Times New Roman" w:eastAsia="宋体" w:cs="Times New Roman"/>
                <w:color w:val="auto"/>
                <w:sz w:val="21"/>
                <w:szCs w:val="21"/>
                <w:highlight w:val="none"/>
                <w:vertAlign w:val="baseline"/>
                <w:lang w:eastAsia="zh-CN"/>
              </w:rPr>
              <w:t>是否允许进口产品</w:t>
            </w:r>
          </w:p>
        </w:tc>
        <w:tc>
          <w:tcPr>
            <w:tcW w:w="1038" w:type="dxa"/>
          </w:tcPr>
          <w:p>
            <w:pPr>
              <w:keepNext w:val="0"/>
              <w:keepLines w:val="0"/>
              <w:pageBreakBefore w:val="0"/>
              <w:widowControl/>
              <w:kinsoku w:val="0"/>
              <w:wordWrap/>
              <w:overflowPunct/>
              <w:topLinePunct w:val="0"/>
              <w:autoSpaceDE w:val="0"/>
              <w:autoSpaceDN w:val="0"/>
              <w:bidi w:val="0"/>
              <w:adjustRightInd w:val="0"/>
              <w:snapToGrid w:val="0"/>
              <w:spacing w:line="360" w:lineRule="auto"/>
              <w:ind w:right="136"/>
              <w:textAlignment w:val="baseline"/>
              <w:rPr>
                <w:rFonts w:hint="eastAsia" w:ascii="Times New Roman" w:hAnsi="Times New Roman" w:eastAsia="宋体" w:cs="Times New Roman"/>
                <w:color w:val="auto"/>
                <w:sz w:val="21"/>
                <w:szCs w:val="21"/>
                <w:highlight w:val="none"/>
                <w:vertAlign w:val="baseline"/>
                <w:lang w:eastAsia="zh-CN"/>
              </w:rPr>
            </w:pPr>
            <w:r>
              <w:rPr>
                <w:rFonts w:hint="eastAsia" w:ascii="Times New Roman" w:hAnsi="Times New Roman" w:eastAsia="宋体" w:cs="Times New Roman"/>
                <w:color w:val="auto"/>
                <w:sz w:val="21"/>
                <w:szCs w:val="21"/>
                <w:highlight w:val="none"/>
                <w:vertAlign w:val="baseline"/>
                <w:lang w:eastAsia="zh-CN"/>
              </w:rPr>
              <w:t>是否属于节能产品</w:t>
            </w:r>
          </w:p>
        </w:tc>
        <w:tc>
          <w:tcPr>
            <w:tcW w:w="996" w:type="dxa"/>
          </w:tcPr>
          <w:p>
            <w:pPr>
              <w:keepNext w:val="0"/>
              <w:keepLines w:val="0"/>
              <w:pageBreakBefore w:val="0"/>
              <w:widowControl/>
              <w:kinsoku w:val="0"/>
              <w:wordWrap/>
              <w:overflowPunct/>
              <w:topLinePunct w:val="0"/>
              <w:autoSpaceDE w:val="0"/>
              <w:autoSpaceDN w:val="0"/>
              <w:bidi w:val="0"/>
              <w:adjustRightInd w:val="0"/>
              <w:snapToGrid w:val="0"/>
              <w:spacing w:line="360" w:lineRule="auto"/>
              <w:ind w:right="136"/>
              <w:textAlignment w:val="baseline"/>
              <w:rPr>
                <w:rFonts w:hint="eastAsia" w:ascii="Times New Roman" w:hAnsi="Times New Roman" w:eastAsia="宋体" w:cs="Times New Roman"/>
                <w:color w:val="auto"/>
                <w:sz w:val="21"/>
                <w:szCs w:val="21"/>
                <w:highlight w:val="none"/>
                <w:vertAlign w:val="baseline"/>
                <w:lang w:eastAsia="zh-CN"/>
              </w:rPr>
            </w:pPr>
            <w:r>
              <w:rPr>
                <w:rFonts w:hint="eastAsia" w:ascii="Times New Roman" w:hAnsi="Times New Roman" w:eastAsia="宋体" w:cs="Times New Roman"/>
                <w:color w:val="auto"/>
                <w:sz w:val="21"/>
                <w:szCs w:val="21"/>
                <w:highlight w:val="none"/>
                <w:vertAlign w:val="baseline"/>
                <w:lang w:eastAsia="zh-CN"/>
              </w:rPr>
              <w:t>是否属于环境标志产品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667" w:type="dxa"/>
          </w:tcPr>
          <w:p>
            <w:pPr>
              <w:keepNext w:val="0"/>
              <w:keepLines w:val="0"/>
              <w:pageBreakBefore w:val="0"/>
              <w:widowControl/>
              <w:kinsoku w:val="0"/>
              <w:wordWrap/>
              <w:overflowPunct/>
              <w:topLinePunct w:val="0"/>
              <w:autoSpaceDE w:val="0"/>
              <w:autoSpaceDN w:val="0"/>
              <w:bidi w:val="0"/>
              <w:adjustRightInd w:val="0"/>
              <w:snapToGrid w:val="0"/>
              <w:spacing w:line="360" w:lineRule="auto"/>
              <w:ind w:right="136"/>
              <w:textAlignment w:val="baseline"/>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1</w:t>
            </w:r>
          </w:p>
        </w:tc>
        <w:tc>
          <w:tcPr>
            <w:tcW w:w="1977" w:type="dxa"/>
          </w:tcPr>
          <w:p>
            <w:pPr>
              <w:keepNext w:val="0"/>
              <w:keepLines w:val="0"/>
              <w:pageBreakBefore w:val="0"/>
              <w:widowControl/>
              <w:kinsoku w:val="0"/>
              <w:wordWrap/>
              <w:overflowPunct/>
              <w:topLinePunct w:val="0"/>
              <w:autoSpaceDE w:val="0"/>
              <w:autoSpaceDN w:val="0"/>
              <w:bidi w:val="0"/>
              <w:adjustRightInd w:val="0"/>
              <w:snapToGrid w:val="0"/>
              <w:spacing w:line="360" w:lineRule="auto"/>
              <w:ind w:right="136"/>
              <w:textAlignment w:val="baseline"/>
              <w:rPr>
                <w:rFonts w:hint="default" w:ascii="Times New Roman" w:hAnsi="Times New Roman" w:eastAsia="宋体" w:cs="Times New Roman"/>
                <w:color w:val="auto"/>
                <w:sz w:val="21"/>
                <w:szCs w:val="21"/>
                <w:highlight w:val="none"/>
                <w:vertAlign w:val="baseline"/>
              </w:rPr>
            </w:pPr>
            <w:r>
              <w:rPr>
                <w:rFonts w:hint="eastAsia" w:ascii="Times New Roman" w:hAnsi="Times New Roman" w:eastAsia="宋体" w:cs="Times New Roman"/>
                <w:color w:val="auto"/>
                <w:sz w:val="18"/>
                <w:szCs w:val="18"/>
                <w:highlight w:val="none"/>
                <w:vertAlign w:val="baseline"/>
                <w:lang w:eastAsia="zh-CN"/>
              </w:rPr>
              <w:t>常宁新区1：1000地形图测绘项目</w:t>
            </w:r>
            <w:r>
              <w:rPr>
                <w:rFonts w:hint="default" w:ascii="Times New Roman" w:hAnsi="Times New Roman" w:eastAsia="宋体" w:cs="Times New Roman"/>
                <w:color w:val="auto"/>
                <w:sz w:val="18"/>
                <w:szCs w:val="18"/>
                <w:highlight w:val="none"/>
                <w:vertAlign w:val="baseline"/>
              </w:rPr>
              <w:t>。</w:t>
            </w:r>
          </w:p>
        </w:tc>
        <w:tc>
          <w:tcPr>
            <w:tcW w:w="667" w:type="dxa"/>
          </w:tcPr>
          <w:p>
            <w:pPr>
              <w:keepNext w:val="0"/>
              <w:keepLines w:val="0"/>
              <w:pageBreakBefore w:val="0"/>
              <w:widowControl/>
              <w:kinsoku w:val="0"/>
              <w:wordWrap/>
              <w:overflowPunct/>
              <w:topLinePunct w:val="0"/>
              <w:autoSpaceDE w:val="0"/>
              <w:autoSpaceDN w:val="0"/>
              <w:bidi w:val="0"/>
              <w:adjustRightInd w:val="0"/>
              <w:snapToGrid w:val="0"/>
              <w:spacing w:line="360" w:lineRule="auto"/>
              <w:ind w:right="136"/>
              <w:textAlignment w:val="baseline"/>
              <w:rPr>
                <w:rFonts w:hint="default" w:ascii="Times New Roman" w:hAnsi="Times New Roman" w:eastAsia="宋体" w:cs="Times New Roman"/>
                <w:color w:val="auto"/>
                <w:sz w:val="18"/>
                <w:szCs w:val="18"/>
                <w:highlight w:val="none"/>
                <w:vertAlign w:val="baseline"/>
                <w:lang w:val="en-US" w:eastAsia="zh-CN"/>
              </w:rPr>
            </w:pPr>
            <w:r>
              <w:rPr>
                <w:rFonts w:hint="eastAsia" w:ascii="Times New Roman" w:hAnsi="Times New Roman" w:eastAsia="宋体" w:cs="Times New Roman"/>
                <w:color w:val="auto"/>
                <w:sz w:val="18"/>
                <w:szCs w:val="18"/>
                <w:highlight w:val="none"/>
                <w:vertAlign w:val="baseline"/>
                <w:lang w:val="en-US" w:eastAsia="zh-CN"/>
              </w:rPr>
              <w:t>1.00</w:t>
            </w:r>
          </w:p>
        </w:tc>
        <w:tc>
          <w:tcPr>
            <w:tcW w:w="1214" w:type="dxa"/>
          </w:tcPr>
          <w:p>
            <w:pPr>
              <w:keepNext w:val="0"/>
              <w:keepLines w:val="0"/>
              <w:pageBreakBefore w:val="0"/>
              <w:widowControl/>
              <w:kinsoku w:val="0"/>
              <w:wordWrap/>
              <w:overflowPunct/>
              <w:topLinePunct w:val="0"/>
              <w:autoSpaceDE w:val="0"/>
              <w:autoSpaceDN w:val="0"/>
              <w:bidi w:val="0"/>
              <w:adjustRightInd w:val="0"/>
              <w:snapToGrid w:val="0"/>
              <w:spacing w:line="360" w:lineRule="auto"/>
              <w:ind w:right="136"/>
              <w:textAlignment w:val="baseline"/>
              <w:rPr>
                <w:rFonts w:hint="default" w:ascii="Times New Roman" w:hAnsi="Times New Roman" w:eastAsia="宋体" w:cs="Times New Roman"/>
                <w:color w:val="auto"/>
                <w:sz w:val="18"/>
                <w:szCs w:val="18"/>
                <w:highlight w:val="none"/>
                <w:vertAlign w:val="baseline"/>
              </w:rPr>
            </w:pPr>
            <w:r>
              <w:rPr>
                <w:rFonts w:hint="eastAsia" w:ascii="Times New Roman" w:hAnsi="Times New Roman" w:eastAsia="宋体" w:cs="Times New Roman"/>
                <w:color w:val="auto"/>
                <w:sz w:val="18"/>
                <w:szCs w:val="18"/>
                <w:highlight w:val="none"/>
                <w:vertAlign w:val="baseline"/>
                <w:lang w:val="en-US" w:eastAsia="zh-CN"/>
              </w:rPr>
              <w:t>7</w:t>
            </w:r>
            <w:r>
              <w:rPr>
                <w:rFonts w:hint="default" w:ascii="Times New Roman" w:hAnsi="Times New Roman" w:eastAsia="宋体" w:cs="Times New Roman"/>
                <w:color w:val="auto"/>
                <w:sz w:val="18"/>
                <w:szCs w:val="18"/>
                <w:highlight w:val="none"/>
                <w:vertAlign w:val="baseline"/>
              </w:rPr>
              <w:t>10,000.00</w:t>
            </w:r>
          </w:p>
        </w:tc>
        <w:tc>
          <w:tcPr>
            <w:tcW w:w="574" w:type="dxa"/>
          </w:tcPr>
          <w:p>
            <w:pPr>
              <w:keepNext w:val="0"/>
              <w:keepLines w:val="0"/>
              <w:pageBreakBefore w:val="0"/>
              <w:widowControl/>
              <w:kinsoku w:val="0"/>
              <w:wordWrap/>
              <w:overflowPunct/>
              <w:topLinePunct w:val="0"/>
              <w:autoSpaceDE w:val="0"/>
              <w:autoSpaceDN w:val="0"/>
              <w:bidi w:val="0"/>
              <w:adjustRightInd w:val="0"/>
              <w:snapToGrid w:val="0"/>
              <w:spacing w:line="360" w:lineRule="auto"/>
              <w:ind w:right="136"/>
              <w:textAlignment w:val="baseline"/>
              <w:rPr>
                <w:rFonts w:hint="eastAsia" w:ascii="Times New Roman" w:hAnsi="Times New Roman" w:eastAsia="宋体" w:cs="Times New Roman"/>
                <w:color w:val="auto"/>
                <w:sz w:val="18"/>
                <w:szCs w:val="18"/>
                <w:highlight w:val="none"/>
                <w:vertAlign w:val="baseline"/>
                <w:lang w:eastAsia="zh-CN"/>
              </w:rPr>
            </w:pPr>
            <w:r>
              <w:rPr>
                <w:rFonts w:hint="eastAsia" w:ascii="Times New Roman" w:hAnsi="Times New Roman" w:eastAsia="宋体" w:cs="Times New Roman"/>
                <w:color w:val="auto"/>
                <w:sz w:val="18"/>
                <w:szCs w:val="18"/>
                <w:highlight w:val="none"/>
                <w:vertAlign w:val="baseline"/>
                <w:lang w:eastAsia="zh-CN"/>
              </w:rPr>
              <w:t>项</w:t>
            </w:r>
          </w:p>
        </w:tc>
        <w:tc>
          <w:tcPr>
            <w:tcW w:w="914" w:type="dxa"/>
          </w:tcPr>
          <w:p>
            <w:pPr>
              <w:keepNext w:val="0"/>
              <w:keepLines w:val="0"/>
              <w:pageBreakBefore w:val="0"/>
              <w:widowControl/>
              <w:kinsoku w:val="0"/>
              <w:wordWrap/>
              <w:overflowPunct/>
              <w:topLinePunct w:val="0"/>
              <w:autoSpaceDE w:val="0"/>
              <w:autoSpaceDN w:val="0"/>
              <w:bidi w:val="0"/>
              <w:adjustRightInd w:val="0"/>
              <w:snapToGrid w:val="0"/>
              <w:spacing w:line="360" w:lineRule="auto"/>
              <w:ind w:right="136"/>
              <w:textAlignment w:val="baseline"/>
              <w:rPr>
                <w:rFonts w:hint="default" w:ascii="Times New Roman" w:hAnsi="Times New Roman" w:eastAsia="宋体" w:cs="Times New Roman"/>
                <w:color w:val="auto"/>
                <w:sz w:val="18"/>
                <w:szCs w:val="18"/>
                <w:highlight w:val="none"/>
                <w:vertAlign w:val="baseline"/>
              </w:rPr>
            </w:pPr>
            <w:r>
              <w:rPr>
                <w:rFonts w:hint="eastAsia" w:ascii="Times New Roman" w:hAnsi="Times New Roman" w:eastAsia="宋体" w:cs="Times New Roman"/>
                <w:color w:val="auto"/>
                <w:sz w:val="18"/>
                <w:szCs w:val="18"/>
                <w:highlight w:val="none"/>
                <w:vertAlign w:val="baseline"/>
                <w:lang w:val="en-US" w:eastAsia="zh-CN"/>
              </w:rPr>
              <w:t xml:space="preserve">其他未列明行业 </w:t>
            </w:r>
          </w:p>
        </w:tc>
        <w:tc>
          <w:tcPr>
            <w:tcW w:w="886" w:type="dxa"/>
          </w:tcPr>
          <w:p>
            <w:pPr>
              <w:keepNext w:val="0"/>
              <w:keepLines w:val="0"/>
              <w:pageBreakBefore w:val="0"/>
              <w:widowControl/>
              <w:kinsoku w:val="0"/>
              <w:wordWrap/>
              <w:overflowPunct/>
              <w:topLinePunct w:val="0"/>
              <w:autoSpaceDE w:val="0"/>
              <w:autoSpaceDN w:val="0"/>
              <w:bidi w:val="0"/>
              <w:adjustRightInd w:val="0"/>
              <w:snapToGrid w:val="0"/>
              <w:spacing w:line="360" w:lineRule="auto"/>
              <w:ind w:right="136"/>
              <w:textAlignment w:val="baseline"/>
              <w:rPr>
                <w:rFonts w:hint="eastAsia" w:ascii="Times New Roman" w:hAnsi="Times New Roman" w:eastAsia="宋体" w:cs="Times New Roman"/>
                <w:color w:val="auto"/>
                <w:sz w:val="18"/>
                <w:szCs w:val="18"/>
                <w:highlight w:val="none"/>
                <w:vertAlign w:val="baseline"/>
                <w:lang w:eastAsia="zh-CN"/>
              </w:rPr>
            </w:pPr>
            <w:r>
              <w:rPr>
                <w:rFonts w:hint="eastAsia" w:ascii="Times New Roman" w:hAnsi="Times New Roman" w:eastAsia="宋体" w:cs="Times New Roman"/>
                <w:color w:val="auto"/>
                <w:sz w:val="18"/>
                <w:szCs w:val="18"/>
                <w:highlight w:val="none"/>
                <w:vertAlign w:val="baseline"/>
                <w:lang w:eastAsia="zh-CN"/>
              </w:rPr>
              <w:t>否</w:t>
            </w:r>
          </w:p>
        </w:tc>
        <w:tc>
          <w:tcPr>
            <w:tcW w:w="1023" w:type="dxa"/>
          </w:tcPr>
          <w:p>
            <w:pPr>
              <w:keepNext w:val="0"/>
              <w:keepLines w:val="0"/>
              <w:pageBreakBefore w:val="0"/>
              <w:widowControl/>
              <w:kinsoku w:val="0"/>
              <w:wordWrap/>
              <w:overflowPunct/>
              <w:topLinePunct w:val="0"/>
              <w:autoSpaceDE w:val="0"/>
              <w:autoSpaceDN w:val="0"/>
              <w:bidi w:val="0"/>
              <w:adjustRightInd w:val="0"/>
              <w:snapToGrid w:val="0"/>
              <w:spacing w:line="360" w:lineRule="auto"/>
              <w:ind w:right="136"/>
              <w:textAlignment w:val="baseline"/>
              <w:rPr>
                <w:rFonts w:hint="default" w:ascii="Times New Roman" w:hAnsi="Times New Roman" w:eastAsia="宋体" w:cs="Times New Roman"/>
                <w:color w:val="auto"/>
                <w:sz w:val="18"/>
                <w:szCs w:val="18"/>
                <w:highlight w:val="none"/>
                <w:vertAlign w:val="baseline"/>
              </w:rPr>
            </w:pPr>
            <w:r>
              <w:rPr>
                <w:rFonts w:hint="eastAsia" w:ascii="Times New Roman" w:hAnsi="Times New Roman" w:eastAsia="宋体" w:cs="Times New Roman"/>
                <w:color w:val="auto"/>
                <w:sz w:val="18"/>
                <w:szCs w:val="18"/>
                <w:highlight w:val="none"/>
                <w:vertAlign w:val="baseline"/>
                <w:lang w:eastAsia="zh-CN"/>
              </w:rPr>
              <w:t>否</w:t>
            </w:r>
          </w:p>
        </w:tc>
        <w:tc>
          <w:tcPr>
            <w:tcW w:w="1038" w:type="dxa"/>
          </w:tcPr>
          <w:p>
            <w:pPr>
              <w:keepNext w:val="0"/>
              <w:keepLines w:val="0"/>
              <w:pageBreakBefore w:val="0"/>
              <w:widowControl/>
              <w:kinsoku w:val="0"/>
              <w:wordWrap/>
              <w:overflowPunct/>
              <w:topLinePunct w:val="0"/>
              <w:autoSpaceDE w:val="0"/>
              <w:autoSpaceDN w:val="0"/>
              <w:bidi w:val="0"/>
              <w:adjustRightInd w:val="0"/>
              <w:snapToGrid w:val="0"/>
              <w:spacing w:line="360" w:lineRule="auto"/>
              <w:ind w:right="136"/>
              <w:textAlignment w:val="baseline"/>
              <w:rPr>
                <w:rFonts w:hint="default" w:ascii="Times New Roman" w:hAnsi="Times New Roman" w:eastAsia="宋体" w:cs="Times New Roman"/>
                <w:color w:val="auto"/>
                <w:sz w:val="18"/>
                <w:szCs w:val="18"/>
                <w:highlight w:val="none"/>
                <w:vertAlign w:val="baseline"/>
              </w:rPr>
            </w:pPr>
            <w:r>
              <w:rPr>
                <w:rFonts w:hint="eastAsia" w:ascii="Times New Roman" w:hAnsi="Times New Roman" w:eastAsia="宋体" w:cs="Times New Roman"/>
                <w:color w:val="auto"/>
                <w:sz w:val="18"/>
                <w:szCs w:val="18"/>
                <w:highlight w:val="none"/>
                <w:vertAlign w:val="baseline"/>
                <w:lang w:eastAsia="zh-CN"/>
              </w:rPr>
              <w:t>否</w:t>
            </w:r>
          </w:p>
        </w:tc>
        <w:tc>
          <w:tcPr>
            <w:tcW w:w="996" w:type="dxa"/>
          </w:tcPr>
          <w:p>
            <w:pPr>
              <w:keepNext w:val="0"/>
              <w:keepLines w:val="0"/>
              <w:pageBreakBefore w:val="0"/>
              <w:widowControl/>
              <w:kinsoku w:val="0"/>
              <w:wordWrap/>
              <w:overflowPunct/>
              <w:topLinePunct w:val="0"/>
              <w:autoSpaceDE w:val="0"/>
              <w:autoSpaceDN w:val="0"/>
              <w:bidi w:val="0"/>
              <w:adjustRightInd w:val="0"/>
              <w:snapToGrid w:val="0"/>
              <w:spacing w:line="360" w:lineRule="auto"/>
              <w:ind w:right="136"/>
              <w:textAlignment w:val="baseline"/>
              <w:rPr>
                <w:rFonts w:hint="default" w:ascii="Times New Roman" w:hAnsi="Times New Roman" w:eastAsia="宋体" w:cs="Times New Roman"/>
                <w:color w:val="auto"/>
                <w:sz w:val="18"/>
                <w:szCs w:val="18"/>
                <w:highlight w:val="none"/>
                <w:vertAlign w:val="baseline"/>
              </w:rPr>
            </w:pPr>
            <w:r>
              <w:rPr>
                <w:rFonts w:hint="eastAsia" w:ascii="Times New Roman" w:hAnsi="Times New Roman" w:eastAsia="宋体" w:cs="Times New Roman"/>
                <w:color w:val="auto"/>
                <w:sz w:val="18"/>
                <w:szCs w:val="18"/>
                <w:highlight w:val="none"/>
                <w:vertAlign w:val="baseline"/>
                <w:lang w:eastAsia="zh-CN"/>
              </w:rPr>
              <w:t>否</w:t>
            </w: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left="15"/>
        <w:textAlignment w:val="baseline"/>
        <w:outlineLvl w:val="1"/>
        <w:rPr>
          <w:rFonts w:hint="eastAsia" w:ascii="Times New Roman" w:hAnsi="Times New Roman" w:eastAsia="宋体" w:cs="Times New Roman"/>
          <w:b/>
          <w:bCs/>
          <w:spacing w:val="15"/>
          <w:sz w:val="24"/>
          <w:szCs w:val="24"/>
          <w:highlight w:val="none"/>
          <w:lang w:val="en-US" w:eastAsia="zh-CN"/>
        </w:rPr>
      </w:pPr>
      <w:r>
        <w:rPr>
          <w:rFonts w:hint="eastAsia" w:ascii="Times New Roman" w:hAnsi="Times New Roman" w:eastAsia="宋体" w:cs="Times New Roman"/>
          <w:b/>
          <w:bCs/>
          <w:spacing w:val="15"/>
          <w:sz w:val="24"/>
          <w:szCs w:val="24"/>
          <w:highlight w:val="none"/>
          <w:lang w:val="en-US" w:eastAsia="zh-CN"/>
        </w:rPr>
        <w:t>1.2.2服务要求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391"/>
        <w:textAlignment w:val="baseline"/>
        <w:rPr>
          <w:rFonts w:ascii="宋体" w:hAnsi="宋体" w:eastAsia="宋体" w:cs="宋体"/>
          <w:spacing w:val="1"/>
          <w:sz w:val="19"/>
          <w:szCs w:val="19"/>
        </w:rPr>
      </w:pPr>
      <w:r>
        <w:rPr>
          <w:rFonts w:ascii="宋体" w:hAnsi="宋体" w:eastAsia="宋体" w:cs="宋体"/>
          <w:spacing w:val="1"/>
          <w:sz w:val="19"/>
          <w:szCs w:val="19"/>
        </w:rPr>
        <w:t>采购包1：</w:t>
      </w:r>
    </w:p>
    <w:p>
      <w:pPr>
        <w:keepNext w:val="0"/>
        <w:keepLines w:val="0"/>
        <w:pageBreakBefore w:val="0"/>
        <w:widowControl/>
        <w:kinsoku w:val="0"/>
        <w:wordWrap/>
        <w:overflowPunct/>
        <w:topLinePunct w:val="0"/>
        <w:autoSpaceDE w:val="0"/>
        <w:autoSpaceDN w:val="0"/>
        <w:bidi w:val="0"/>
        <w:adjustRightInd w:val="0"/>
        <w:snapToGrid w:val="0"/>
        <w:spacing w:line="360" w:lineRule="auto"/>
        <w:ind w:left="391"/>
        <w:textAlignment w:val="baseline"/>
        <w:rPr>
          <w:rFonts w:ascii="宋体" w:hAnsi="宋体" w:eastAsia="宋体" w:cs="宋体"/>
          <w:spacing w:val="1"/>
          <w:sz w:val="19"/>
          <w:szCs w:val="19"/>
        </w:rPr>
      </w:pPr>
      <w:r>
        <w:rPr>
          <w:rFonts w:ascii="宋体" w:hAnsi="宋体" w:eastAsia="宋体" w:cs="宋体"/>
          <w:spacing w:val="1"/>
          <w:sz w:val="19"/>
          <w:szCs w:val="19"/>
        </w:rPr>
        <w:t>供应商报价不允许超过标的金额</w:t>
      </w:r>
    </w:p>
    <w:p>
      <w:pPr>
        <w:keepNext w:val="0"/>
        <w:keepLines w:val="0"/>
        <w:pageBreakBefore w:val="0"/>
        <w:widowControl/>
        <w:kinsoku w:val="0"/>
        <w:wordWrap/>
        <w:overflowPunct/>
        <w:topLinePunct w:val="0"/>
        <w:autoSpaceDE w:val="0"/>
        <w:autoSpaceDN w:val="0"/>
        <w:bidi w:val="0"/>
        <w:adjustRightInd w:val="0"/>
        <w:snapToGrid w:val="0"/>
        <w:spacing w:line="360" w:lineRule="auto"/>
        <w:ind w:left="391"/>
        <w:textAlignment w:val="baseline"/>
        <w:rPr>
          <w:rFonts w:ascii="宋体" w:hAnsi="宋体" w:eastAsia="宋体" w:cs="宋体"/>
          <w:spacing w:val="1"/>
          <w:sz w:val="19"/>
          <w:szCs w:val="19"/>
        </w:rPr>
      </w:pPr>
      <w:r>
        <w:rPr>
          <w:rFonts w:ascii="宋体" w:hAnsi="宋体" w:eastAsia="宋体" w:cs="宋体"/>
          <w:spacing w:val="1"/>
          <w:sz w:val="19"/>
          <w:szCs w:val="19"/>
        </w:rPr>
        <w:t>（招单价的）供应商报价不允许超过标的单价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391"/>
        <w:textAlignment w:val="baseline"/>
        <w:rPr>
          <w:rFonts w:ascii="宋体" w:hAnsi="宋体" w:eastAsia="宋体" w:cs="宋体"/>
          <w:spacing w:val="1"/>
          <w:sz w:val="19"/>
          <w:szCs w:val="19"/>
        </w:rPr>
      </w:pPr>
      <w:r>
        <w:rPr>
          <w:rFonts w:ascii="宋体" w:hAnsi="宋体" w:eastAsia="宋体" w:cs="宋体"/>
          <w:spacing w:val="1"/>
          <w:sz w:val="19"/>
          <w:szCs w:val="19"/>
        </w:rPr>
        <w:t>标的名称：</w:t>
      </w:r>
      <w:r>
        <w:rPr>
          <w:rFonts w:hint="eastAsia" w:ascii="宋体" w:hAnsi="宋体" w:eastAsia="宋体" w:cs="宋体"/>
          <w:spacing w:val="1"/>
          <w:sz w:val="19"/>
          <w:szCs w:val="19"/>
          <w:lang w:eastAsia="zh-CN"/>
        </w:rPr>
        <w:t>常宁新区1：1000地形图测绘项目</w:t>
      </w:r>
      <w:r>
        <w:rPr>
          <w:rFonts w:ascii="宋体" w:hAnsi="宋体" w:eastAsia="宋体" w:cs="宋体"/>
          <w:spacing w:val="1"/>
          <w:sz w:val="19"/>
          <w:szCs w:val="19"/>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4"/>
        <w:gridCol w:w="647"/>
        <w:gridCol w:w="6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8" w:type="dxa"/>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default" w:ascii="宋体" w:hAnsi="宋体" w:eastAsia="宋体" w:cs="宋体"/>
                <w:spacing w:val="1"/>
                <w:sz w:val="18"/>
                <w:szCs w:val="18"/>
                <w:vertAlign w:val="baseline"/>
                <w:lang w:val="en-US" w:eastAsia="zh-CN"/>
              </w:rPr>
            </w:pPr>
            <w:r>
              <w:rPr>
                <w:rFonts w:hint="eastAsia" w:ascii="宋体" w:hAnsi="宋体" w:eastAsia="宋体" w:cs="宋体"/>
                <w:spacing w:val="1"/>
                <w:sz w:val="18"/>
                <w:szCs w:val="18"/>
                <w:vertAlign w:val="baseline"/>
                <w:lang w:val="en-US" w:eastAsia="zh-CN"/>
              </w:rPr>
              <w:t>参数性质</w:t>
            </w:r>
          </w:p>
        </w:tc>
        <w:tc>
          <w:tcPr>
            <w:tcW w:w="707" w:type="dxa"/>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default" w:ascii="宋体" w:hAnsi="宋体" w:eastAsia="宋体" w:cs="宋体"/>
                <w:spacing w:val="1"/>
                <w:sz w:val="18"/>
                <w:szCs w:val="18"/>
                <w:vertAlign w:val="baseline"/>
                <w:lang w:val="en-US" w:eastAsia="zh-CN"/>
              </w:rPr>
            </w:pPr>
            <w:r>
              <w:rPr>
                <w:rFonts w:hint="eastAsia" w:ascii="宋体" w:hAnsi="宋体" w:eastAsia="宋体" w:cs="宋体"/>
                <w:spacing w:val="1"/>
                <w:sz w:val="18"/>
                <w:szCs w:val="18"/>
                <w:vertAlign w:val="baseline"/>
                <w:lang w:val="en-US" w:eastAsia="zh-CN"/>
              </w:rPr>
              <w:t>序号</w:t>
            </w:r>
          </w:p>
        </w:tc>
        <w:tc>
          <w:tcPr>
            <w:tcW w:w="8111" w:type="dxa"/>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default" w:ascii="宋体" w:hAnsi="宋体" w:eastAsia="宋体" w:cs="宋体"/>
                <w:spacing w:val="1"/>
                <w:sz w:val="18"/>
                <w:szCs w:val="18"/>
                <w:vertAlign w:val="baseline"/>
                <w:lang w:val="en-US" w:eastAsia="zh-CN"/>
              </w:rPr>
            </w:pPr>
            <w:r>
              <w:rPr>
                <w:rFonts w:hint="default" w:ascii="宋体" w:hAnsi="宋体" w:eastAsia="宋体" w:cs="宋体"/>
                <w:spacing w:val="1"/>
                <w:sz w:val="18"/>
                <w:szCs w:val="18"/>
                <w:vertAlign w:val="baseline"/>
                <w:lang w:val="en-US" w:eastAsia="zh-CN"/>
              </w:rPr>
              <w:t>技术参数与性能指标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8" w:type="dxa"/>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default" w:ascii="宋体" w:hAnsi="宋体" w:eastAsia="宋体" w:cs="宋体"/>
                <w:spacing w:val="1"/>
                <w:sz w:val="19"/>
                <w:szCs w:val="19"/>
                <w:vertAlign w:val="baseline"/>
                <w:lang w:val="en-US" w:eastAsia="zh-CN"/>
              </w:rPr>
            </w:pPr>
          </w:p>
        </w:tc>
        <w:tc>
          <w:tcPr>
            <w:tcW w:w="707" w:type="dxa"/>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default" w:ascii="宋体" w:hAnsi="宋体" w:eastAsia="宋体" w:cs="宋体"/>
                <w:color w:val="auto"/>
                <w:spacing w:val="1"/>
                <w:sz w:val="19"/>
                <w:szCs w:val="19"/>
                <w:vertAlign w:val="baseline"/>
                <w:lang w:val="en-US" w:eastAsia="zh-CN"/>
              </w:rPr>
            </w:pPr>
          </w:p>
        </w:tc>
        <w:tc>
          <w:tcPr>
            <w:tcW w:w="8111" w:type="dxa"/>
          </w:tcPr>
          <w:p>
            <w:pPr>
              <w:pStyle w:val="4"/>
              <w:widowControl w:val="0"/>
              <w:rPr>
                <w:rFonts w:hint="eastAsia" w:ascii="宋体" w:hAnsi="宋体" w:eastAsia="宋体"/>
                <w:color w:val="auto"/>
                <w:sz w:val="21"/>
                <w:szCs w:val="21"/>
              </w:rPr>
            </w:pPr>
            <w:bookmarkStart w:id="0" w:name="_Toc217446094"/>
            <w:r>
              <w:rPr>
                <w:rFonts w:hint="eastAsia" w:ascii="宋体" w:hAnsi="宋体" w:eastAsia="宋体"/>
                <w:color w:val="auto"/>
                <w:sz w:val="21"/>
                <w:szCs w:val="21"/>
              </w:rPr>
              <w:t>一、采购内容</w:t>
            </w:r>
          </w:p>
          <w:p>
            <w:pPr>
              <w:pStyle w:val="5"/>
              <w:widowControl w:val="0"/>
              <w:spacing w:line="360" w:lineRule="auto"/>
              <w:ind w:firstLine="367" w:firstLineChars="175"/>
              <w:rPr>
                <w:rFonts w:hint="eastAsia" w:ascii="宋体" w:hAnsi="宋体"/>
                <w:bCs/>
                <w:color w:val="auto"/>
                <w:sz w:val="21"/>
                <w:szCs w:val="21"/>
              </w:rPr>
            </w:pPr>
            <w:r>
              <w:rPr>
                <w:rFonts w:hint="eastAsia" w:ascii="宋体" w:hAnsi="宋体"/>
                <w:bCs/>
                <w:color w:val="auto"/>
                <w:sz w:val="21"/>
                <w:szCs w:val="21"/>
              </w:rPr>
              <w:t>常宁新区</w:t>
            </w:r>
            <w:r>
              <w:rPr>
                <w:rFonts w:hint="eastAsia" w:ascii="宋体" w:hAnsi="宋体"/>
                <w:bCs/>
                <w:color w:val="auto"/>
                <w:sz w:val="21"/>
                <w:szCs w:val="21"/>
                <w:lang w:val="en-US" w:eastAsia="zh-CN"/>
              </w:rPr>
              <w:t>西沣片区、核心区、引镇片区</w:t>
            </w:r>
            <w:r>
              <w:rPr>
                <w:rFonts w:hint="eastAsia" w:ascii="宋体" w:hAnsi="宋体"/>
                <w:bCs/>
                <w:color w:val="auto"/>
                <w:sz w:val="21"/>
                <w:szCs w:val="21"/>
              </w:rPr>
              <w:t>约20平方公里</w:t>
            </w:r>
            <w:r>
              <w:rPr>
                <w:rFonts w:hint="eastAsia" w:ascii="宋体" w:hAnsi="宋体"/>
                <w:bCs/>
                <w:color w:val="auto"/>
                <w:sz w:val="21"/>
                <w:szCs w:val="21"/>
                <w:lang w:val="en-US" w:eastAsia="zh-CN"/>
              </w:rPr>
              <w:t>地形图测绘</w:t>
            </w:r>
            <w:r>
              <w:rPr>
                <w:rFonts w:hint="eastAsia" w:ascii="宋体" w:hAnsi="宋体"/>
                <w:bCs/>
                <w:color w:val="auto"/>
                <w:sz w:val="21"/>
                <w:szCs w:val="21"/>
              </w:rPr>
              <w:t>。</w:t>
            </w:r>
          </w:p>
          <w:p>
            <w:pPr>
              <w:pStyle w:val="5"/>
              <w:widowControl w:val="0"/>
              <w:spacing w:line="360" w:lineRule="auto"/>
              <w:ind w:firstLine="368" w:firstLineChars="175"/>
              <w:rPr>
                <w:rFonts w:hint="eastAsia" w:ascii="宋体" w:hAnsi="宋体" w:eastAsia="宋体"/>
                <w:b/>
                <w:color w:val="auto"/>
                <w:sz w:val="21"/>
                <w:szCs w:val="21"/>
                <w:lang w:eastAsia="zh-CN"/>
              </w:rPr>
            </w:pPr>
            <w:r>
              <w:rPr>
                <w:rFonts w:hint="eastAsia" w:ascii="宋体" w:hAnsi="宋体"/>
                <w:b/>
                <w:color w:val="auto"/>
                <w:sz w:val="21"/>
                <w:szCs w:val="21"/>
              </w:rPr>
              <w:t>本项目所属行业为</w:t>
            </w:r>
            <w:r>
              <w:rPr>
                <w:rFonts w:hint="eastAsia" w:ascii="宋体" w:hAnsi="宋体"/>
                <w:b/>
                <w:color w:val="auto"/>
                <w:sz w:val="21"/>
                <w:szCs w:val="21"/>
                <w:lang w:eastAsia="zh-CN"/>
              </w:rPr>
              <w:t>其他未列明行业。</w:t>
            </w:r>
            <w:r>
              <w:rPr>
                <w:rFonts w:hint="eastAsia" w:ascii="宋体" w:hAnsi="宋体"/>
                <w:b w:val="0"/>
                <w:bCs/>
                <w:color w:val="auto"/>
                <w:sz w:val="21"/>
                <w:szCs w:val="21"/>
                <w:lang w:eastAsia="zh-CN"/>
              </w:rPr>
              <w:t>（从业人员300人以下的为中小微型企业。其中，从业人员100人及以上的为中型企业；从业人员10人及以上的为小型企业；从业人员10人以下的为微型企业。）</w:t>
            </w:r>
          </w:p>
          <w:p>
            <w:pPr>
              <w:pStyle w:val="4"/>
              <w:widowControl w:val="0"/>
              <w:spacing w:before="156" w:beforeLines="50" w:after="156" w:afterLines="50" w:line="360" w:lineRule="auto"/>
              <w:rPr>
                <w:rFonts w:hint="eastAsia" w:ascii="宋体" w:hAnsi="宋体" w:eastAsia="宋体"/>
                <w:b/>
                <w:bCs w:val="0"/>
                <w:color w:val="auto"/>
                <w:sz w:val="21"/>
                <w:szCs w:val="21"/>
              </w:rPr>
            </w:pPr>
            <w:bookmarkStart w:id="1" w:name="_Toc12014425"/>
            <w:r>
              <w:rPr>
                <w:rFonts w:hint="eastAsia" w:ascii="宋体" w:hAnsi="宋体" w:eastAsia="宋体"/>
                <w:b/>
                <w:bCs w:val="0"/>
                <w:color w:val="auto"/>
                <w:sz w:val="21"/>
                <w:szCs w:val="21"/>
              </w:rPr>
              <w:t>二、</w:t>
            </w:r>
            <w:bookmarkEnd w:id="1"/>
            <w:r>
              <w:rPr>
                <w:rFonts w:hint="eastAsia" w:ascii="宋体" w:hAnsi="宋体" w:eastAsia="宋体"/>
                <w:b/>
                <w:bCs w:val="0"/>
                <w:color w:val="auto"/>
                <w:sz w:val="21"/>
                <w:szCs w:val="21"/>
              </w:rPr>
              <w:t>主要功能或目标</w:t>
            </w:r>
          </w:p>
          <w:bookmarkEnd w:id="0"/>
          <w:p>
            <w:pPr>
              <w:pStyle w:val="5"/>
              <w:widowControl w:val="0"/>
              <w:spacing w:line="360" w:lineRule="auto"/>
              <w:ind w:firstLine="367" w:firstLineChars="175"/>
              <w:rPr>
                <w:rFonts w:hint="default" w:ascii="宋体" w:hAnsi="宋体" w:eastAsia="宋体" w:cs="Times New Roman"/>
                <w:bCs/>
                <w:color w:val="auto"/>
                <w:sz w:val="21"/>
                <w:szCs w:val="21"/>
                <w:highlight w:val="none"/>
                <w:lang w:val="en-US" w:eastAsia="zh-CN"/>
              </w:rPr>
            </w:pPr>
            <w:r>
              <w:rPr>
                <w:rFonts w:hint="default" w:ascii="宋体" w:hAnsi="宋体" w:eastAsia="宋体" w:cs="Times New Roman"/>
                <w:bCs/>
                <w:color w:val="auto"/>
                <w:sz w:val="21"/>
                <w:szCs w:val="21"/>
                <w:highlight w:val="none"/>
                <w:lang w:val="en-US" w:eastAsia="zh-CN"/>
              </w:rPr>
              <w:t>该区域1:1000地形图的测绘成果，为区域发展决策提供基础信息，满足测绘区域规划编制需求和项目建设需要，涵盖区域内所有详细现状建筑物、路网、高程及地下管线等信息。</w:t>
            </w:r>
          </w:p>
          <w:p>
            <w:pPr>
              <w:pStyle w:val="5"/>
              <w:widowControl w:val="0"/>
              <w:spacing w:line="360" w:lineRule="auto"/>
              <w:ind w:left="0" w:leftChars="0" w:firstLine="0" w:firstLineChars="0"/>
              <w:rPr>
                <w:rFonts w:hint="eastAsia" w:ascii="宋体" w:hAnsi="宋体"/>
                <w:b/>
                <w:bCs w:val="0"/>
                <w:color w:val="auto"/>
                <w:sz w:val="21"/>
                <w:szCs w:val="21"/>
                <w:lang w:val="en-US" w:eastAsia="zh-CN"/>
              </w:rPr>
            </w:pPr>
            <w:r>
              <w:rPr>
                <w:rFonts w:hint="eastAsia" w:ascii="宋体" w:hAnsi="宋体"/>
                <w:b/>
                <w:bCs w:val="0"/>
                <w:color w:val="auto"/>
                <w:sz w:val="21"/>
                <w:szCs w:val="21"/>
                <w:lang w:val="en-US" w:eastAsia="zh-CN"/>
              </w:rPr>
              <w:t>三、需满足的需求</w:t>
            </w:r>
          </w:p>
          <w:p>
            <w:pPr>
              <w:pStyle w:val="5"/>
              <w:widowControl w:val="0"/>
              <w:spacing w:line="360" w:lineRule="auto"/>
              <w:ind w:left="0" w:leftChars="0" w:firstLine="420" w:firstLineChars="200"/>
              <w:rPr>
                <w:rFonts w:hint="eastAsia"/>
                <w:lang w:val="en-US" w:eastAsia="zh-CN"/>
              </w:rPr>
            </w:pPr>
            <w:r>
              <w:rPr>
                <w:rFonts w:hint="eastAsia" w:ascii="宋体" w:hAnsi="宋体"/>
                <w:bCs/>
                <w:color w:val="auto"/>
                <w:sz w:val="21"/>
                <w:szCs w:val="21"/>
                <w:lang w:val="en-US" w:eastAsia="zh-CN"/>
              </w:rPr>
              <w:t>1.提供地形图测绘成果纸质文件3套、电子文件1套（dwg格式）及相关原始资料。</w:t>
            </w:r>
          </w:p>
          <w:p>
            <w:pPr>
              <w:pStyle w:val="5"/>
              <w:widowControl w:val="0"/>
              <w:spacing w:line="360" w:lineRule="auto"/>
              <w:ind w:left="0" w:leftChars="0" w:firstLine="420" w:firstLineChars="200"/>
              <w:rPr>
                <w:rFonts w:hint="eastAsia" w:ascii="宋体" w:hAnsi="宋体"/>
                <w:bCs/>
                <w:color w:val="auto"/>
                <w:sz w:val="21"/>
                <w:szCs w:val="21"/>
              </w:rPr>
            </w:pPr>
            <w:r>
              <w:rPr>
                <w:rFonts w:hint="eastAsia" w:ascii="宋体" w:hAnsi="宋体"/>
                <w:bCs/>
                <w:color w:val="auto"/>
                <w:sz w:val="21"/>
                <w:szCs w:val="21"/>
                <w:lang w:val="en-US" w:eastAsia="zh-CN"/>
              </w:rPr>
              <w:t>2.</w:t>
            </w:r>
            <w:r>
              <w:rPr>
                <w:rFonts w:hint="eastAsia" w:ascii="宋体" w:hAnsi="宋体"/>
                <w:bCs/>
                <w:color w:val="auto"/>
                <w:sz w:val="21"/>
                <w:szCs w:val="21"/>
              </w:rPr>
              <w:t>服务、产品（如有）执行的标准、规范：</w:t>
            </w:r>
          </w:p>
          <w:p>
            <w:pPr>
              <w:pStyle w:val="5"/>
              <w:widowControl w:val="0"/>
              <w:spacing w:line="360" w:lineRule="auto"/>
              <w:ind w:firstLine="577" w:firstLineChars="275"/>
              <w:rPr>
                <w:rFonts w:hint="eastAsia" w:ascii="宋体" w:hAnsi="宋体"/>
                <w:bCs/>
                <w:color w:val="auto"/>
                <w:sz w:val="21"/>
                <w:szCs w:val="21"/>
              </w:rPr>
            </w:pPr>
            <w:r>
              <w:rPr>
                <w:rFonts w:hint="eastAsia" w:ascii="宋体" w:hAnsi="宋体"/>
                <w:bCs/>
                <w:color w:val="auto"/>
                <w:sz w:val="21"/>
                <w:szCs w:val="21"/>
              </w:rPr>
              <w:t>（1）国家标准、规范</w:t>
            </w:r>
            <w:r>
              <w:rPr>
                <w:rFonts w:hint="eastAsia" w:ascii="宋体" w:hAnsi="宋体"/>
                <w:bCs/>
                <w:color w:val="auto"/>
                <w:sz w:val="21"/>
                <w:szCs w:val="21"/>
                <w:u w:val="single"/>
              </w:rPr>
              <w:t xml:space="preserve">  </w:t>
            </w:r>
            <w:r>
              <w:rPr>
                <w:rFonts w:hint="eastAsia" w:ascii="宋体" w:hAnsi="宋体"/>
                <w:bCs/>
                <w:color w:val="auto"/>
                <w:sz w:val="21"/>
                <w:szCs w:val="21"/>
                <w:u w:val="single"/>
                <w:lang w:val="en-US" w:eastAsia="zh-CN"/>
              </w:rPr>
              <w:t>/</w:t>
            </w:r>
            <w:r>
              <w:rPr>
                <w:rFonts w:hint="eastAsia" w:ascii="宋体" w:hAnsi="宋体"/>
                <w:bCs/>
                <w:color w:val="auto"/>
                <w:sz w:val="21"/>
                <w:szCs w:val="21"/>
                <w:u w:val="single"/>
              </w:rPr>
              <w:t xml:space="preserve">  </w:t>
            </w:r>
            <w:r>
              <w:rPr>
                <w:rFonts w:hint="eastAsia" w:ascii="宋体" w:hAnsi="宋体"/>
                <w:bCs/>
                <w:color w:val="auto"/>
                <w:sz w:val="21"/>
                <w:szCs w:val="21"/>
              </w:rPr>
              <w:t>；</w:t>
            </w:r>
          </w:p>
          <w:p>
            <w:pPr>
              <w:pStyle w:val="5"/>
              <w:widowControl w:val="0"/>
              <w:spacing w:line="360" w:lineRule="auto"/>
              <w:ind w:firstLine="577" w:firstLineChars="275"/>
              <w:rPr>
                <w:rFonts w:hint="eastAsia" w:ascii="宋体" w:hAnsi="宋体"/>
                <w:bCs/>
                <w:color w:val="auto"/>
                <w:sz w:val="21"/>
                <w:szCs w:val="21"/>
              </w:rPr>
            </w:pPr>
            <w:r>
              <w:rPr>
                <w:rFonts w:hint="eastAsia" w:ascii="宋体" w:hAnsi="宋体"/>
                <w:bCs/>
                <w:color w:val="auto"/>
                <w:sz w:val="21"/>
                <w:szCs w:val="21"/>
              </w:rPr>
              <w:t>（2）行业标准、规范</w:t>
            </w:r>
            <w:r>
              <w:rPr>
                <w:rFonts w:hint="eastAsia" w:ascii="宋体" w:hAnsi="宋体"/>
                <w:bCs/>
                <w:color w:val="auto"/>
                <w:sz w:val="21"/>
                <w:szCs w:val="21"/>
                <w:u w:val="single"/>
              </w:rPr>
              <w:t xml:space="preserve">  </w:t>
            </w:r>
            <w:r>
              <w:rPr>
                <w:rFonts w:hint="eastAsia" w:ascii="宋体" w:hAnsi="宋体"/>
                <w:bCs/>
                <w:color w:val="auto"/>
                <w:sz w:val="21"/>
                <w:szCs w:val="21"/>
                <w:u w:val="single"/>
                <w:lang w:val="en-US" w:eastAsia="zh-CN"/>
              </w:rPr>
              <w:t>/</w:t>
            </w:r>
            <w:r>
              <w:rPr>
                <w:rFonts w:hint="eastAsia" w:ascii="宋体" w:hAnsi="宋体"/>
                <w:bCs/>
                <w:color w:val="auto"/>
                <w:sz w:val="21"/>
                <w:szCs w:val="21"/>
                <w:u w:val="single"/>
              </w:rPr>
              <w:t xml:space="preserve">  </w:t>
            </w:r>
            <w:r>
              <w:rPr>
                <w:rFonts w:hint="eastAsia" w:ascii="宋体" w:hAnsi="宋体"/>
                <w:bCs/>
                <w:color w:val="auto"/>
                <w:sz w:val="21"/>
                <w:szCs w:val="21"/>
              </w:rPr>
              <w:t>；</w:t>
            </w:r>
          </w:p>
          <w:p>
            <w:pPr>
              <w:pStyle w:val="5"/>
              <w:widowControl w:val="0"/>
              <w:spacing w:line="360" w:lineRule="auto"/>
              <w:ind w:firstLine="577" w:firstLineChars="275"/>
              <w:rPr>
                <w:rFonts w:hint="eastAsia" w:ascii="宋体" w:hAnsi="宋体"/>
                <w:bCs/>
                <w:color w:val="auto"/>
                <w:sz w:val="21"/>
                <w:szCs w:val="21"/>
              </w:rPr>
            </w:pPr>
            <w:r>
              <w:rPr>
                <w:rFonts w:hint="eastAsia" w:ascii="宋体" w:hAnsi="宋体"/>
                <w:bCs/>
                <w:color w:val="auto"/>
                <w:sz w:val="21"/>
                <w:szCs w:val="21"/>
              </w:rPr>
              <w:t>（3）地方标准、规范</w:t>
            </w:r>
            <w:r>
              <w:rPr>
                <w:rFonts w:hint="eastAsia" w:ascii="宋体" w:hAnsi="宋体"/>
                <w:bCs/>
                <w:color w:val="auto"/>
                <w:sz w:val="21"/>
                <w:szCs w:val="21"/>
                <w:u w:val="single"/>
              </w:rPr>
              <w:t xml:space="preserve">  </w:t>
            </w:r>
            <w:r>
              <w:rPr>
                <w:rFonts w:hint="eastAsia" w:ascii="宋体" w:hAnsi="宋体"/>
                <w:bCs/>
                <w:color w:val="auto"/>
                <w:sz w:val="21"/>
                <w:szCs w:val="21"/>
                <w:u w:val="single"/>
                <w:lang w:val="en-US" w:eastAsia="zh-CN"/>
              </w:rPr>
              <w:t>/</w:t>
            </w:r>
            <w:r>
              <w:rPr>
                <w:rFonts w:hint="eastAsia" w:ascii="宋体" w:hAnsi="宋体"/>
                <w:bCs/>
                <w:color w:val="auto"/>
                <w:sz w:val="21"/>
                <w:szCs w:val="21"/>
                <w:u w:val="single"/>
              </w:rPr>
              <w:t xml:space="preserve">  </w:t>
            </w:r>
            <w:r>
              <w:rPr>
                <w:rFonts w:hint="eastAsia" w:ascii="宋体" w:hAnsi="宋体"/>
                <w:bCs/>
                <w:color w:val="auto"/>
                <w:sz w:val="21"/>
                <w:szCs w:val="21"/>
              </w:rPr>
              <w:t>；</w:t>
            </w:r>
          </w:p>
          <w:p>
            <w:pPr>
              <w:pStyle w:val="5"/>
              <w:widowControl w:val="0"/>
              <w:spacing w:line="360" w:lineRule="auto"/>
              <w:ind w:firstLine="577" w:firstLineChars="275"/>
              <w:rPr>
                <w:rFonts w:hint="eastAsia" w:ascii="宋体" w:hAnsi="宋体"/>
                <w:bCs/>
                <w:color w:val="auto"/>
                <w:sz w:val="21"/>
                <w:szCs w:val="21"/>
              </w:rPr>
            </w:pPr>
            <w:r>
              <w:rPr>
                <w:rFonts w:hint="eastAsia" w:ascii="宋体" w:hAnsi="宋体"/>
                <w:bCs/>
                <w:color w:val="auto"/>
                <w:sz w:val="21"/>
                <w:szCs w:val="21"/>
              </w:rPr>
              <w:t>（4）团体标准、规范</w:t>
            </w:r>
            <w:r>
              <w:rPr>
                <w:rFonts w:hint="eastAsia" w:ascii="宋体" w:hAnsi="宋体"/>
                <w:bCs/>
                <w:color w:val="auto"/>
                <w:sz w:val="21"/>
                <w:szCs w:val="21"/>
                <w:u w:val="single"/>
              </w:rPr>
              <w:t xml:space="preserve">  </w:t>
            </w:r>
            <w:r>
              <w:rPr>
                <w:rFonts w:hint="eastAsia" w:ascii="宋体" w:hAnsi="宋体"/>
                <w:bCs/>
                <w:color w:val="auto"/>
                <w:sz w:val="21"/>
                <w:szCs w:val="21"/>
                <w:u w:val="single"/>
                <w:lang w:val="en-US" w:eastAsia="zh-CN"/>
              </w:rPr>
              <w:t>/</w:t>
            </w:r>
            <w:r>
              <w:rPr>
                <w:rFonts w:hint="eastAsia" w:ascii="宋体" w:hAnsi="宋体"/>
                <w:bCs/>
                <w:color w:val="auto"/>
                <w:sz w:val="21"/>
                <w:szCs w:val="21"/>
                <w:u w:val="single"/>
              </w:rPr>
              <w:t xml:space="preserve">  </w:t>
            </w:r>
            <w:r>
              <w:rPr>
                <w:rFonts w:hint="eastAsia" w:ascii="宋体" w:hAnsi="宋体"/>
                <w:bCs/>
                <w:color w:val="auto"/>
                <w:sz w:val="21"/>
                <w:szCs w:val="21"/>
              </w:rPr>
              <w:t>；</w:t>
            </w:r>
          </w:p>
          <w:p>
            <w:pPr>
              <w:pStyle w:val="5"/>
              <w:widowControl w:val="0"/>
              <w:spacing w:line="360" w:lineRule="auto"/>
              <w:ind w:firstLine="577" w:firstLineChars="275"/>
              <w:rPr>
                <w:rFonts w:hint="eastAsia" w:ascii="宋体" w:hAnsi="宋体"/>
                <w:bCs/>
                <w:color w:val="auto"/>
                <w:sz w:val="21"/>
                <w:szCs w:val="21"/>
              </w:rPr>
            </w:pPr>
            <w:r>
              <w:rPr>
                <w:rFonts w:hint="eastAsia" w:ascii="宋体" w:hAnsi="宋体"/>
                <w:bCs/>
                <w:color w:val="auto"/>
                <w:sz w:val="21"/>
                <w:szCs w:val="21"/>
              </w:rPr>
              <w:t>（5）企业标准、规范</w:t>
            </w:r>
            <w:r>
              <w:rPr>
                <w:rFonts w:hint="eastAsia" w:ascii="宋体" w:hAnsi="宋体"/>
                <w:bCs/>
                <w:color w:val="auto"/>
                <w:sz w:val="21"/>
                <w:szCs w:val="21"/>
                <w:u w:val="single"/>
              </w:rPr>
              <w:t xml:space="preserve">  </w:t>
            </w:r>
            <w:r>
              <w:rPr>
                <w:rFonts w:hint="eastAsia" w:ascii="宋体" w:hAnsi="宋体"/>
                <w:bCs/>
                <w:color w:val="auto"/>
                <w:sz w:val="21"/>
                <w:szCs w:val="21"/>
                <w:u w:val="single"/>
                <w:lang w:val="en-US" w:eastAsia="zh-CN"/>
              </w:rPr>
              <w:t>/</w:t>
            </w:r>
            <w:r>
              <w:rPr>
                <w:rFonts w:hint="eastAsia" w:ascii="宋体" w:hAnsi="宋体"/>
                <w:bCs/>
                <w:color w:val="auto"/>
                <w:sz w:val="21"/>
                <w:szCs w:val="21"/>
                <w:u w:val="single"/>
              </w:rPr>
              <w:t xml:space="preserve">  </w:t>
            </w:r>
            <w:r>
              <w:rPr>
                <w:rFonts w:hint="eastAsia" w:ascii="宋体" w:hAnsi="宋体"/>
                <w:bCs/>
                <w:color w:val="auto"/>
                <w:sz w:val="21"/>
                <w:szCs w:val="21"/>
              </w:rPr>
              <w:t>。</w:t>
            </w:r>
          </w:p>
          <w:p>
            <w:pPr>
              <w:pStyle w:val="5"/>
              <w:widowControl w:val="0"/>
              <w:spacing w:line="360" w:lineRule="auto"/>
              <w:rPr>
                <w:rFonts w:hint="eastAsia" w:ascii="宋体" w:hAnsi="宋体"/>
                <w:color w:val="auto"/>
                <w:sz w:val="21"/>
                <w:szCs w:val="21"/>
              </w:rPr>
            </w:pPr>
            <w:r>
              <w:rPr>
                <w:rFonts w:hint="eastAsia" w:ascii="宋体" w:hAnsi="宋体"/>
                <w:color w:val="auto"/>
                <w:sz w:val="21"/>
                <w:szCs w:val="21"/>
                <w:lang w:val="en-US" w:eastAsia="zh-CN"/>
              </w:rPr>
              <w:t>3.</w:t>
            </w:r>
            <w:r>
              <w:rPr>
                <w:rFonts w:hint="eastAsia" w:ascii="宋体" w:hAnsi="宋体"/>
                <w:color w:val="auto"/>
                <w:sz w:val="21"/>
                <w:szCs w:val="21"/>
              </w:rPr>
              <w:t>本章</w:t>
            </w:r>
            <w:r>
              <w:rPr>
                <w:rFonts w:hint="eastAsia" w:ascii="宋体" w:hAnsi="宋体"/>
                <w:color w:val="auto"/>
                <w:sz w:val="21"/>
                <w:szCs w:val="21"/>
                <w:lang w:val="en-US" w:eastAsia="zh-CN"/>
              </w:rPr>
              <w:t>2</w:t>
            </w:r>
            <w:r>
              <w:rPr>
                <w:rFonts w:hint="eastAsia" w:ascii="宋体" w:hAnsi="宋体"/>
                <w:color w:val="auto"/>
                <w:sz w:val="21"/>
                <w:szCs w:val="21"/>
              </w:rPr>
              <w:t>条款未明确服务（产品）执行标准、规范的，按下列方法进行选择：</w:t>
            </w:r>
          </w:p>
          <w:p>
            <w:pPr>
              <w:pStyle w:val="5"/>
              <w:widowControl w:val="0"/>
              <w:spacing w:line="360" w:lineRule="auto"/>
              <w:ind w:left="945" w:hanging="945" w:hangingChars="450"/>
              <w:rPr>
                <w:rFonts w:hint="eastAsia" w:ascii="宋体" w:hAnsi="宋体"/>
                <w:color w:val="auto"/>
                <w:sz w:val="21"/>
                <w:szCs w:val="21"/>
              </w:rPr>
            </w:pPr>
            <w:r>
              <w:rPr>
                <w:rFonts w:hint="eastAsia" w:ascii="宋体" w:hAnsi="宋体"/>
                <w:color w:val="auto"/>
                <w:sz w:val="21"/>
                <w:szCs w:val="21"/>
              </w:rPr>
              <w:t xml:space="preserve">        □ 顺序执行：国家标准→行业标准→地方标准→团体标准→企业标准（有国家标准按国家标准执行，没有国家标准按行业标准，以此类推）；</w:t>
            </w:r>
          </w:p>
          <w:p>
            <w:pPr>
              <w:pStyle w:val="5"/>
              <w:widowControl w:val="0"/>
              <w:spacing w:line="360" w:lineRule="auto"/>
              <w:ind w:left="945" w:hanging="945" w:hangingChars="450"/>
              <w:rPr>
                <w:rFonts w:hint="eastAsia" w:ascii="宋体" w:hAnsi="宋体"/>
                <w:color w:val="auto"/>
                <w:sz w:val="21"/>
                <w:szCs w:val="21"/>
              </w:rPr>
            </w:pPr>
            <w:r>
              <w:rPr>
                <w:rFonts w:hint="eastAsia" w:ascii="宋体" w:hAnsi="宋体"/>
                <w:color w:val="auto"/>
                <w:sz w:val="21"/>
                <w:szCs w:val="21"/>
              </w:rPr>
              <w:t xml:space="preserve">        □ 最高标准执行：国家标准，行业标准，地方标准，团体标准，企业标准（那个标准高执行那个标准）</w:t>
            </w:r>
          </w:p>
          <w:p>
            <w:pPr>
              <w:pStyle w:val="5"/>
              <w:widowControl w:val="0"/>
              <w:spacing w:line="360" w:lineRule="auto"/>
              <w:ind w:left="945" w:leftChars="400" w:hanging="105" w:hangingChars="50"/>
              <w:rPr>
                <w:rFonts w:hint="default" w:ascii="宋体" w:hAnsi="宋体" w:eastAsia="宋体" w:cs="宋体"/>
                <w:color w:val="auto"/>
                <w:spacing w:val="1"/>
                <w:sz w:val="19"/>
                <w:szCs w:val="19"/>
                <w:vertAlign w:val="baseline"/>
                <w:lang w:val="en-US" w:eastAsia="zh-CN"/>
              </w:rPr>
            </w:pPr>
            <w:r>
              <w:rPr>
                <w:rFonts w:hint="eastAsia" w:ascii="宋体" w:hAnsi="宋体"/>
                <w:color w:val="auto"/>
                <w:sz w:val="21"/>
                <w:szCs w:val="21"/>
              </w:rPr>
              <w:fldChar w:fldCharType="begin"/>
            </w:r>
            <w:r>
              <w:rPr>
                <w:rFonts w:hint="eastAsia" w:ascii="宋体" w:hAnsi="宋体"/>
                <w:color w:val="auto"/>
                <w:sz w:val="21"/>
                <w:szCs w:val="21"/>
              </w:rPr>
              <w:instrText xml:space="preserve"> eq \o\ac(□,√)</w:instrText>
            </w:r>
            <w:r>
              <w:rPr>
                <w:rFonts w:hint="eastAsia" w:ascii="宋体" w:hAnsi="宋体"/>
                <w:color w:val="auto"/>
                <w:sz w:val="21"/>
                <w:szCs w:val="21"/>
              </w:rPr>
              <w:fldChar w:fldCharType="end"/>
            </w:r>
            <w:r>
              <w:rPr>
                <w:rFonts w:hint="eastAsia" w:ascii="宋体" w:hAnsi="宋体"/>
                <w:color w:val="auto"/>
                <w:sz w:val="21"/>
                <w:szCs w:val="21"/>
              </w:rPr>
              <w:t xml:space="preserve"> 必须执行：国家（行业）强制性标准。</w:t>
            </w:r>
          </w:p>
        </w:tc>
      </w:tr>
    </w:tbl>
    <w:p>
      <w:pPr>
        <w:spacing w:line="360" w:lineRule="auto"/>
        <w:rPr>
          <w:rFonts w:hint="eastAsia" w:ascii="Times New Roman" w:hAnsi="Times New Roman" w:eastAsia="宋体" w:cs="Times New Roman"/>
          <w:b/>
          <w:bCs/>
          <w:spacing w:val="15"/>
          <w:sz w:val="24"/>
          <w:szCs w:val="24"/>
          <w:highlight w:val="none"/>
          <w:lang w:val="en-US" w:eastAsia="zh-CN"/>
        </w:rPr>
      </w:pPr>
      <w:r>
        <w:rPr>
          <w:rFonts w:hint="eastAsia" w:ascii="Times New Roman" w:hAnsi="Times New Roman" w:eastAsia="宋体" w:cs="Times New Roman"/>
          <w:b/>
          <w:bCs/>
          <w:spacing w:val="15"/>
          <w:sz w:val="24"/>
          <w:szCs w:val="24"/>
          <w:highlight w:val="none"/>
          <w:lang w:val="en-US" w:eastAsia="zh-CN"/>
        </w:rPr>
        <w:t>1.2.3人员配置要求</w:t>
      </w:r>
    </w:p>
    <w:p>
      <w:pPr>
        <w:pStyle w:val="3"/>
        <w:spacing w:line="360" w:lineRule="auto"/>
        <w:rPr>
          <w:rFonts w:hint="eastAsia"/>
          <w:color w:val="auto"/>
          <w:lang w:val="en-US" w:eastAsia="zh-CN"/>
        </w:rPr>
      </w:pPr>
      <w:r>
        <w:rPr>
          <w:rFonts w:hint="eastAsia"/>
          <w:color w:val="auto"/>
          <w:lang w:val="en-US" w:eastAsia="zh-CN"/>
        </w:rPr>
        <w:t>采购包1：</w:t>
      </w:r>
    </w:p>
    <w:p>
      <w:pPr>
        <w:pStyle w:val="3"/>
        <w:spacing w:line="360" w:lineRule="auto"/>
        <w:rPr>
          <w:rFonts w:hint="eastAsia"/>
          <w:color w:val="auto"/>
          <w:lang w:val="en-US" w:eastAsia="zh-CN"/>
        </w:rPr>
      </w:pPr>
      <w:r>
        <w:rPr>
          <w:rFonts w:hint="eastAsia"/>
          <w:color w:val="auto"/>
          <w:lang w:val="en-US" w:eastAsia="zh-CN"/>
        </w:rPr>
        <w:t>按项目服务要求，组织项目实施与管理，建立以项目负责人和技术负责人为核心的项目部，实行项目经理负责制，其他相关人员经过严格培训，能够胜任此项工作。</w:t>
      </w:r>
    </w:p>
    <w:p>
      <w:pPr>
        <w:spacing w:line="360" w:lineRule="auto"/>
        <w:rPr>
          <w:rFonts w:hint="eastAsia" w:ascii="Times New Roman" w:hAnsi="Times New Roman" w:eastAsia="宋体" w:cs="Times New Roman"/>
          <w:b/>
          <w:bCs/>
          <w:spacing w:val="15"/>
          <w:sz w:val="24"/>
          <w:szCs w:val="24"/>
          <w:highlight w:val="none"/>
          <w:lang w:val="en-US" w:eastAsia="zh-CN"/>
        </w:rPr>
      </w:pPr>
      <w:r>
        <w:rPr>
          <w:rFonts w:hint="eastAsia" w:ascii="Times New Roman" w:hAnsi="Times New Roman" w:eastAsia="宋体" w:cs="Times New Roman"/>
          <w:b/>
          <w:bCs/>
          <w:spacing w:val="15"/>
          <w:sz w:val="24"/>
          <w:szCs w:val="24"/>
          <w:highlight w:val="none"/>
          <w:lang w:val="en-US" w:eastAsia="zh-CN"/>
        </w:rPr>
        <w:t>1.2.4设施设备要求</w:t>
      </w:r>
    </w:p>
    <w:p>
      <w:pPr>
        <w:pStyle w:val="3"/>
        <w:spacing w:line="360" w:lineRule="auto"/>
        <w:rPr>
          <w:rFonts w:hint="eastAsia"/>
          <w:color w:val="auto"/>
          <w:lang w:val="en-US" w:eastAsia="zh-CN"/>
        </w:rPr>
      </w:pPr>
      <w:r>
        <w:rPr>
          <w:rFonts w:hint="eastAsia"/>
          <w:color w:val="auto"/>
          <w:lang w:val="en-US" w:eastAsia="zh-CN"/>
        </w:rPr>
        <w:t>采购包1：</w:t>
      </w:r>
    </w:p>
    <w:p>
      <w:pPr>
        <w:pStyle w:val="3"/>
        <w:spacing w:line="360" w:lineRule="auto"/>
        <w:rPr>
          <w:rFonts w:hint="eastAsia"/>
          <w:color w:val="auto"/>
          <w:lang w:val="en-US" w:eastAsia="zh-CN"/>
        </w:rPr>
      </w:pPr>
      <w:r>
        <w:rPr>
          <w:rFonts w:hint="eastAsia"/>
          <w:color w:val="auto"/>
          <w:lang w:val="en-US" w:eastAsia="zh-CN"/>
        </w:rPr>
        <w:t>按项目服务要求，投入有利于本项目顺利实施的各类设施设备（包含但不限于专业设备、辅助设备、工具、软件等）。</w:t>
      </w:r>
    </w:p>
    <w:p>
      <w:pPr>
        <w:pStyle w:val="3"/>
        <w:spacing w:line="360" w:lineRule="auto"/>
        <w:rPr>
          <w:rFonts w:hint="eastAsia" w:ascii="Times New Roman" w:hAnsi="Times New Roman" w:eastAsia="宋体" w:cs="Times New Roman"/>
          <w:b/>
          <w:bCs/>
          <w:color w:val="auto"/>
          <w:spacing w:val="15"/>
          <w:sz w:val="24"/>
          <w:szCs w:val="24"/>
          <w:highlight w:val="none"/>
          <w:lang w:val="en-US" w:eastAsia="zh-CN"/>
        </w:rPr>
      </w:pPr>
      <w:r>
        <w:rPr>
          <w:rFonts w:hint="eastAsia" w:ascii="Times New Roman" w:hAnsi="Times New Roman" w:eastAsia="宋体" w:cs="Times New Roman"/>
          <w:b/>
          <w:bCs/>
          <w:spacing w:val="15"/>
          <w:sz w:val="24"/>
          <w:szCs w:val="24"/>
          <w:highlight w:val="none"/>
          <w:lang w:val="en-US" w:eastAsia="zh-CN"/>
        </w:rPr>
        <w:t>1</w:t>
      </w:r>
      <w:r>
        <w:rPr>
          <w:rFonts w:hint="eastAsia" w:ascii="Times New Roman" w:hAnsi="Times New Roman" w:eastAsia="宋体" w:cs="Times New Roman"/>
          <w:b/>
          <w:bCs/>
          <w:color w:val="auto"/>
          <w:spacing w:val="15"/>
          <w:sz w:val="24"/>
          <w:szCs w:val="24"/>
          <w:highlight w:val="none"/>
          <w:lang w:val="en-US" w:eastAsia="zh-CN"/>
        </w:rPr>
        <w:t>.2.5其他要求</w:t>
      </w:r>
    </w:p>
    <w:p>
      <w:pPr>
        <w:pStyle w:val="3"/>
        <w:spacing w:line="360" w:lineRule="auto"/>
        <w:rPr>
          <w:rFonts w:hint="eastAsia"/>
          <w:color w:val="auto"/>
          <w:lang w:val="en-US" w:eastAsia="zh-CN"/>
        </w:rPr>
      </w:pPr>
      <w:r>
        <w:rPr>
          <w:rFonts w:hint="eastAsia"/>
          <w:color w:val="auto"/>
          <w:lang w:val="en-US" w:eastAsia="zh-CN"/>
        </w:rPr>
        <w:t>采购包1：</w:t>
      </w:r>
    </w:p>
    <w:p>
      <w:pPr>
        <w:pStyle w:val="3"/>
        <w:spacing w:line="360" w:lineRule="auto"/>
        <w:rPr>
          <w:rFonts w:hint="eastAsia"/>
          <w:color w:val="auto"/>
          <w:lang w:val="en-US" w:eastAsia="zh-CN"/>
        </w:rPr>
      </w:pPr>
      <w:r>
        <w:rPr>
          <w:rFonts w:hint="eastAsia"/>
          <w:color w:val="auto"/>
          <w:lang w:val="en-US" w:eastAsia="zh-CN"/>
        </w:rPr>
        <w:t>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5"/>
        <w:textAlignment w:val="baseline"/>
        <w:outlineLvl w:val="1"/>
        <w:rPr>
          <w:rFonts w:hint="default" w:ascii="Times New Roman" w:hAnsi="Times New Roman" w:eastAsia="宋体" w:cs="Times New Roman"/>
          <w:b/>
          <w:bCs/>
          <w:spacing w:val="15"/>
          <w:sz w:val="28"/>
          <w:szCs w:val="28"/>
          <w:highlight w:val="none"/>
        </w:rPr>
      </w:pPr>
      <w:r>
        <w:rPr>
          <w:rFonts w:hint="default" w:ascii="Times New Roman" w:hAnsi="Times New Roman" w:eastAsia="宋体" w:cs="Times New Roman"/>
          <w:b/>
          <w:bCs/>
          <w:spacing w:val="15"/>
          <w:sz w:val="28"/>
          <w:szCs w:val="28"/>
          <w:highlight w:val="none"/>
        </w:rPr>
        <w:t>1.</w:t>
      </w:r>
      <w:r>
        <w:rPr>
          <w:rFonts w:hint="eastAsia" w:ascii="Times New Roman" w:hAnsi="Times New Roman" w:eastAsia="宋体" w:cs="Times New Roman"/>
          <w:b/>
          <w:bCs/>
          <w:spacing w:val="15"/>
          <w:sz w:val="28"/>
          <w:szCs w:val="28"/>
          <w:highlight w:val="none"/>
          <w:lang w:val="en-US" w:eastAsia="zh-CN"/>
        </w:rPr>
        <w:t>3</w:t>
      </w:r>
      <w:r>
        <w:rPr>
          <w:rFonts w:hint="default" w:ascii="Times New Roman" w:hAnsi="Times New Roman" w:eastAsia="宋体" w:cs="Times New Roman"/>
          <w:b/>
          <w:bCs/>
          <w:spacing w:val="15"/>
          <w:sz w:val="28"/>
          <w:szCs w:val="28"/>
          <w:highlight w:val="none"/>
        </w:rPr>
        <w:t>商务要求（说明：由采购人依据项目具体需求制定）</w:t>
      </w:r>
    </w:p>
    <w:p>
      <w:pPr>
        <w:keepNext w:val="0"/>
        <w:keepLines w:val="0"/>
        <w:pageBreakBefore w:val="0"/>
        <w:widowControl/>
        <w:kinsoku/>
        <w:wordWrap/>
        <w:overflowPunct/>
        <w:topLinePunct w:val="0"/>
        <w:autoSpaceDE w:val="0"/>
        <w:autoSpaceDN w:val="0"/>
        <w:bidi w:val="0"/>
        <w:adjustRightInd w:val="0"/>
        <w:snapToGrid w:val="0"/>
        <w:spacing w:line="360" w:lineRule="auto"/>
        <w:ind w:left="6"/>
        <w:textAlignment w:val="baseline"/>
        <w:rPr>
          <w:rFonts w:ascii="宋体" w:hAnsi="宋体" w:eastAsia="宋体" w:cs="宋体"/>
          <w:sz w:val="19"/>
          <w:szCs w:val="19"/>
        </w:rPr>
      </w:pPr>
      <w:r>
        <w:rPr>
          <w:rFonts w:hint="eastAsia" w:ascii="Microsoft JhengHei" w:hAnsi="Microsoft JhengHei" w:eastAsia="宋体" w:cs="Microsoft JhengHei"/>
          <w:b/>
          <w:bCs/>
          <w:spacing w:val="14"/>
          <w:position w:val="14"/>
          <w:sz w:val="19"/>
          <w:szCs w:val="19"/>
          <w:lang w:val="en-US" w:eastAsia="zh-CN"/>
        </w:rPr>
        <w:t>1</w:t>
      </w:r>
      <w:r>
        <w:rPr>
          <w:rFonts w:ascii="Microsoft JhengHei" w:hAnsi="Microsoft JhengHei" w:eastAsia="Microsoft JhengHei" w:cs="Microsoft JhengHei"/>
          <w:b/>
          <w:bCs/>
          <w:spacing w:val="14"/>
          <w:position w:val="14"/>
          <w:sz w:val="19"/>
          <w:szCs w:val="19"/>
        </w:rPr>
        <w:t>.3.1</w:t>
      </w:r>
      <w:r>
        <w:rPr>
          <w:rFonts w:ascii="宋体" w:hAnsi="宋体" w:eastAsia="宋体" w:cs="宋体"/>
          <w:spacing w:val="14"/>
          <w:position w:val="14"/>
          <w:sz w:val="19"/>
          <w:szCs w:val="19"/>
        </w:rPr>
        <w:t>服务期限</w:t>
      </w:r>
    </w:p>
    <w:p>
      <w:pPr>
        <w:keepNext w:val="0"/>
        <w:keepLines w:val="0"/>
        <w:pageBreakBefore w:val="0"/>
        <w:widowControl/>
        <w:kinsoku/>
        <w:wordWrap/>
        <w:overflowPunct/>
        <w:topLinePunct w:val="0"/>
        <w:autoSpaceDE w:val="0"/>
        <w:autoSpaceDN w:val="0"/>
        <w:bidi w:val="0"/>
        <w:adjustRightInd w:val="0"/>
        <w:snapToGrid w:val="0"/>
        <w:spacing w:line="360" w:lineRule="auto"/>
        <w:ind w:left="384"/>
        <w:textAlignment w:val="baseline"/>
        <w:rPr>
          <w:rFonts w:ascii="宋体" w:hAnsi="宋体" w:eastAsia="宋体" w:cs="宋体"/>
          <w:color w:val="auto"/>
          <w:sz w:val="21"/>
          <w:szCs w:val="21"/>
        </w:rPr>
      </w:pPr>
      <w:r>
        <w:rPr>
          <w:rFonts w:ascii="宋体" w:hAnsi="宋体" w:eastAsia="宋体" w:cs="宋体"/>
          <w:color w:val="auto"/>
          <w:sz w:val="21"/>
          <w:szCs w:val="21"/>
        </w:rPr>
        <w:t>采购包</w:t>
      </w:r>
      <w:r>
        <w:rPr>
          <w:rFonts w:ascii="Lucida Sans Unicode" w:hAnsi="Lucida Sans Unicode" w:eastAsia="Lucida Sans Unicode" w:cs="Lucida Sans Unicode"/>
          <w:color w:val="auto"/>
          <w:sz w:val="21"/>
          <w:szCs w:val="21"/>
        </w:rPr>
        <w:t>1</w:t>
      </w:r>
      <w:r>
        <w:rPr>
          <w:rFonts w:ascii="宋体" w:hAnsi="宋体" w:eastAsia="宋体" w:cs="宋体"/>
          <w:color w:val="auto"/>
          <w:sz w:val="21"/>
          <w:szCs w:val="21"/>
        </w:rPr>
        <w:t>：</w:t>
      </w:r>
    </w:p>
    <w:p>
      <w:pPr>
        <w:keepNext w:val="0"/>
        <w:keepLines w:val="0"/>
        <w:pageBreakBefore w:val="0"/>
        <w:widowControl/>
        <w:kinsoku/>
        <w:wordWrap/>
        <w:overflowPunct/>
        <w:topLinePunct w:val="0"/>
        <w:autoSpaceDE w:val="0"/>
        <w:autoSpaceDN w:val="0"/>
        <w:bidi w:val="0"/>
        <w:adjustRightInd w:val="0"/>
        <w:snapToGrid w:val="0"/>
        <w:spacing w:line="360" w:lineRule="auto"/>
        <w:ind w:left="398"/>
        <w:textAlignment w:val="baseline"/>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自合同签订之日起</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个日历天</w:t>
      </w:r>
    </w:p>
    <w:p>
      <w:pPr>
        <w:keepNext w:val="0"/>
        <w:keepLines w:val="0"/>
        <w:pageBreakBefore w:val="0"/>
        <w:widowControl/>
        <w:kinsoku/>
        <w:wordWrap/>
        <w:overflowPunct/>
        <w:topLinePunct w:val="0"/>
        <w:autoSpaceDE w:val="0"/>
        <w:autoSpaceDN w:val="0"/>
        <w:bidi w:val="0"/>
        <w:adjustRightInd w:val="0"/>
        <w:snapToGrid w:val="0"/>
        <w:spacing w:line="360" w:lineRule="auto"/>
        <w:ind w:left="6"/>
        <w:textAlignment w:val="baseline"/>
        <w:outlineLvl w:val="3"/>
        <w:rPr>
          <w:rFonts w:ascii="宋体" w:hAnsi="宋体" w:eastAsia="宋体" w:cs="宋体"/>
          <w:sz w:val="19"/>
          <w:szCs w:val="19"/>
        </w:rPr>
      </w:pPr>
      <w:r>
        <w:rPr>
          <w:rFonts w:hint="eastAsia" w:ascii="Microsoft JhengHei" w:hAnsi="Microsoft JhengHei" w:eastAsia="Microsoft JhengHei" w:cs="Microsoft JhengHei"/>
          <w:b/>
          <w:bCs/>
          <w:spacing w:val="14"/>
          <w:sz w:val="19"/>
          <w:szCs w:val="19"/>
        </w:rPr>
        <w:t>1</w:t>
      </w:r>
      <w:r>
        <w:rPr>
          <w:rFonts w:ascii="Microsoft JhengHei" w:hAnsi="Microsoft JhengHei" w:eastAsia="Microsoft JhengHei" w:cs="Microsoft JhengHei"/>
          <w:b/>
          <w:bCs/>
          <w:spacing w:val="14"/>
          <w:sz w:val="19"/>
          <w:szCs w:val="19"/>
        </w:rPr>
        <w:t>.3.2</w:t>
      </w:r>
      <w:r>
        <w:rPr>
          <w:rFonts w:ascii="宋体" w:hAnsi="宋体" w:eastAsia="宋体" w:cs="宋体"/>
          <w:spacing w:val="14"/>
          <w:sz w:val="19"/>
          <w:szCs w:val="19"/>
        </w:rPr>
        <w:t>服务地点</w:t>
      </w:r>
    </w:p>
    <w:p>
      <w:pPr>
        <w:keepNext w:val="0"/>
        <w:keepLines w:val="0"/>
        <w:pageBreakBefore w:val="0"/>
        <w:widowControl/>
        <w:kinsoku/>
        <w:wordWrap/>
        <w:overflowPunct/>
        <w:topLinePunct w:val="0"/>
        <w:autoSpaceDE w:val="0"/>
        <w:autoSpaceDN w:val="0"/>
        <w:bidi w:val="0"/>
        <w:adjustRightInd w:val="0"/>
        <w:snapToGrid w:val="0"/>
        <w:spacing w:line="360" w:lineRule="auto"/>
        <w:ind w:left="384"/>
        <w:textAlignment w:val="baseline"/>
        <w:rPr>
          <w:rFonts w:ascii="宋体" w:hAnsi="宋体" w:eastAsia="宋体" w:cs="宋体"/>
          <w:color w:val="auto"/>
          <w:sz w:val="21"/>
          <w:szCs w:val="21"/>
        </w:rPr>
      </w:pPr>
      <w:r>
        <w:rPr>
          <w:rFonts w:ascii="宋体" w:hAnsi="宋体" w:eastAsia="宋体" w:cs="宋体"/>
          <w:color w:val="auto"/>
          <w:sz w:val="21"/>
          <w:szCs w:val="21"/>
        </w:rPr>
        <w:t>采购包</w:t>
      </w:r>
      <w:r>
        <w:rPr>
          <w:rFonts w:ascii="Lucida Sans Unicode" w:hAnsi="Lucida Sans Unicode" w:eastAsia="Lucida Sans Unicode" w:cs="Lucida Sans Unicode"/>
          <w:color w:val="auto"/>
          <w:sz w:val="21"/>
          <w:szCs w:val="21"/>
        </w:rPr>
        <w:t>1</w:t>
      </w:r>
      <w:r>
        <w:rPr>
          <w:rFonts w:ascii="宋体" w:hAnsi="宋体" w:eastAsia="宋体" w:cs="宋体"/>
          <w:color w:val="auto"/>
          <w:sz w:val="21"/>
          <w:szCs w:val="21"/>
        </w:rPr>
        <w:t>：</w:t>
      </w:r>
    </w:p>
    <w:p>
      <w:pPr>
        <w:keepNext w:val="0"/>
        <w:keepLines w:val="0"/>
        <w:pageBreakBefore w:val="0"/>
        <w:widowControl/>
        <w:kinsoku/>
        <w:wordWrap/>
        <w:overflowPunct/>
        <w:topLinePunct w:val="0"/>
        <w:autoSpaceDE w:val="0"/>
        <w:autoSpaceDN w:val="0"/>
        <w:bidi w:val="0"/>
        <w:adjustRightInd w:val="0"/>
        <w:snapToGrid w:val="0"/>
        <w:spacing w:line="360" w:lineRule="auto"/>
        <w:ind w:left="384"/>
        <w:textAlignment w:val="baseline"/>
        <w:outlineLvl w:val="3"/>
        <w:rPr>
          <w:rFonts w:ascii="宋体" w:hAnsi="宋体" w:eastAsia="宋体" w:cs="宋体"/>
          <w:color w:val="auto"/>
          <w:sz w:val="21"/>
          <w:szCs w:val="21"/>
        </w:rPr>
      </w:pPr>
      <w:r>
        <w:rPr>
          <w:rFonts w:hint="eastAsia" w:ascii="宋体" w:hAnsi="宋体" w:eastAsia="宋体" w:cs="宋体"/>
          <w:color w:val="auto"/>
          <w:sz w:val="21"/>
          <w:szCs w:val="21"/>
          <w:lang w:val="en-US" w:eastAsia="zh-CN"/>
        </w:rPr>
        <w:t>按</w:t>
      </w:r>
      <w:r>
        <w:rPr>
          <w:rFonts w:ascii="宋体" w:hAnsi="宋体" w:eastAsia="宋体" w:cs="宋体"/>
          <w:color w:val="auto"/>
          <w:sz w:val="21"/>
          <w:szCs w:val="21"/>
        </w:rPr>
        <w:t>采购人指定地点</w:t>
      </w:r>
    </w:p>
    <w:p>
      <w:pPr>
        <w:keepNext w:val="0"/>
        <w:keepLines w:val="0"/>
        <w:pageBreakBefore w:val="0"/>
        <w:widowControl/>
        <w:kinsoku/>
        <w:wordWrap/>
        <w:overflowPunct/>
        <w:topLinePunct w:val="0"/>
        <w:autoSpaceDE w:val="0"/>
        <w:autoSpaceDN w:val="0"/>
        <w:bidi w:val="0"/>
        <w:adjustRightInd w:val="0"/>
        <w:snapToGrid w:val="0"/>
        <w:spacing w:line="360" w:lineRule="auto"/>
        <w:ind w:left="6"/>
        <w:textAlignment w:val="baseline"/>
        <w:rPr>
          <w:rFonts w:ascii="宋体" w:hAnsi="宋体" w:eastAsia="宋体" w:cs="宋体"/>
          <w:sz w:val="19"/>
          <w:szCs w:val="19"/>
          <w:highlight w:val="none"/>
        </w:rPr>
      </w:pPr>
      <w:r>
        <w:rPr>
          <w:rFonts w:hint="eastAsia" w:ascii="Microsoft JhengHei" w:hAnsi="Microsoft JhengHei" w:eastAsia="宋体" w:cs="Microsoft JhengHei"/>
          <w:b/>
          <w:bCs/>
          <w:spacing w:val="14"/>
          <w:position w:val="14"/>
          <w:sz w:val="19"/>
          <w:szCs w:val="19"/>
          <w:lang w:val="en-US" w:eastAsia="zh-CN"/>
        </w:rPr>
        <w:t>1</w:t>
      </w:r>
      <w:r>
        <w:rPr>
          <w:rFonts w:ascii="Microsoft JhengHei" w:hAnsi="Microsoft JhengHei" w:eastAsia="Microsoft JhengHei" w:cs="Microsoft JhengHei"/>
          <w:b/>
          <w:bCs/>
          <w:spacing w:val="14"/>
          <w:position w:val="14"/>
          <w:sz w:val="19"/>
          <w:szCs w:val="19"/>
        </w:rPr>
        <w:t>.3.3</w:t>
      </w:r>
      <w:r>
        <w:rPr>
          <w:rFonts w:ascii="宋体" w:hAnsi="宋体" w:eastAsia="宋体" w:cs="宋体"/>
          <w:spacing w:val="14"/>
          <w:position w:val="14"/>
          <w:sz w:val="20"/>
          <w:szCs w:val="20"/>
          <w:highlight w:val="none"/>
        </w:rPr>
        <w:t>考核（验收）标准和方法</w:t>
      </w:r>
    </w:p>
    <w:p>
      <w:pPr>
        <w:keepNext w:val="0"/>
        <w:keepLines w:val="0"/>
        <w:pageBreakBefore w:val="0"/>
        <w:widowControl/>
        <w:kinsoku/>
        <w:wordWrap/>
        <w:overflowPunct/>
        <w:topLinePunct w:val="0"/>
        <w:autoSpaceDE w:val="0"/>
        <w:autoSpaceDN w:val="0"/>
        <w:bidi w:val="0"/>
        <w:adjustRightInd w:val="0"/>
        <w:snapToGrid w:val="0"/>
        <w:spacing w:line="360" w:lineRule="auto"/>
        <w:ind w:left="384"/>
        <w:textAlignment w:val="baseline"/>
        <w:rPr>
          <w:rFonts w:ascii="宋体" w:hAnsi="宋体" w:eastAsia="宋体" w:cs="宋体"/>
          <w:color w:val="auto"/>
          <w:sz w:val="21"/>
          <w:szCs w:val="21"/>
        </w:rPr>
      </w:pPr>
      <w:r>
        <w:rPr>
          <w:rFonts w:ascii="宋体" w:hAnsi="宋体" w:eastAsia="宋体" w:cs="宋体"/>
          <w:color w:val="auto"/>
          <w:sz w:val="21"/>
          <w:szCs w:val="21"/>
        </w:rPr>
        <w:t>采购包</w:t>
      </w:r>
      <w:r>
        <w:rPr>
          <w:rFonts w:ascii="Lucida Sans Unicode" w:hAnsi="Lucida Sans Unicode" w:eastAsia="Lucida Sans Unicode" w:cs="Lucida Sans Unicode"/>
          <w:color w:val="auto"/>
          <w:sz w:val="21"/>
          <w:szCs w:val="21"/>
        </w:rPr>
        <w:t>1</w:t>
      </w:r>
      <w:r>
        <w:rPr>
          <w:rFonts w:ascii="宋体" w:hAnsi="宋体" w:eastAsia="宋体" w:cs="宋体"/>
          <w:color w:val="auto"/>
          <w:sz w:val="21"/>
          <w:szCs w:val="21"/>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right="0" w:rightChars="0" w:firstLine="420" w:firstLineChars="200"/>
        <w:textAlignment w:val="baseline"/>
        <w:rPr>
          <w:rFonts w:hint="default" w:ascii="Times New Roman" w:hAnsi="Times New Roman" w:eastAsia="宋体" w:cs="Times New Roman"/>
          <w:color w:val="FF0000"/>
          <w:sz w:val="21"/>
          <w:szCs w:val="21"/>
          <w:highlight w:val="yellow"/>
          <w:lang w:val="en-US" w:eastAsia="zh-CN"/>
        </w:rPr>
      </w:pPr>
      <w:r>
        <w:rPr>
          <w:rFonts w:hint="default" w:ascii="Times New Roman" w:hAnsi="Times New Roman" w:eastAsia="宋体" w:cs="Times New Roman"/>
          <w:color w:val="auto"/>
          <w:sz w:val="21"/>
          <w:szCs w:val="21"/>
          <w:highlight w:val="none"/>
          <w:lang w:val="en-US" w:eastAsia="zh-CN"/>
        </w:rPr>
        <w:t>若甲方对乙方提供的测绘成果有异议的，甲方应当委托所在地的省级测绘产品质量监督检验站裁决，检验合格的，相应费用由甲方承担，检验不合格的，相应费用由乙方承担。</w:t>
      </w:r>
    </w:p>
    <w:p>
      <w:pPr>
        <w:keepNext w:val="0"/>
        <w:keepLines w:val="0"/>
        <w:pageBreakBefore w:val="0"/>
        <w:widowControl/>
        <w:kinsoku/>
        <w:wordWrap/>
        <w:overflowPunct/>
        <w:topLinePunct w:val="0"/>
        <w:autoSpaceDE w:val="0"/>
        <w:autoSpaceDN w:val="0"/>
        <w:bidi w:val="0"/>
        <w:adjustRightInd w:val="0"/>
        <w:snapToGrid w:val="0"/>
        <w:spacing w:line="360" w:lineRule="auto"/>
        <w:ind w:left="6"/>
        <w:textAlignment w:val="baseline"/>
        <w:outlineLvl w:val="3"/>
        <w:rPr>
          <w:rFonts w:ascii="宋体" w:hAnsi="宋体" w:eastAsia="宋体" w:cs="宋体"/>
          <w:color w:val="auto"/>
          <w:sz w:val="19"/>
          <w:szCs w:val="19"/>
          <w:highlight w:val="none"/>
        </w:rPr>
      </w:pPr>
      <w:r>
        <w:rPr>
          <w:rFonts w:hint="eastAsia" w:ascii="Microsoft JhengHei" w:hAnsi="Microsoft JhengHei" w:eastAsia="Microsoft JhengHei" w:cs="Microsoft JhengHei"/>
          <w:b/>
          <w:bCs/>
          <w:spacing w:val="14"/>
          <w:sz w:val="19"/>
          <w:szCs w:val="19"/>
        </w:rPr>
        <w:t>1</w:t>
      </w:r>
      <w:r>
        <w:rPr>
          <w:rFonts w:ascii="Microsoft JhengHei" w:hAnsi="Microsoft JhengHei" w:eastAsia="Microsoft JhengHei" w:cs="Microsoft JhengHei"/>
          <w:b/>
          <w:bCs/>
          <w:spacing w:val="14"/>
          <w:sz w:val="19"/>
          <w:szCs w:val="19"/>
        </w:rPr>
        <w:t>.3.4</w:t>
      </w:r>
      <w:r>
        <w:rPr>
          <w:rFonts w:ascii="宋体" w:hAnsi="宋体" w:eastAsia="宋体" w:cs="宋体"/>
          <w:color w:val="auto"/>
          <w:spacing w:val="14"/>
          <w:sz w:val="19"/>
          <w:szCs w:val="19"/>
          <w:highlight w:val="none"/>
        </w:rPr>
        <w:t>支付方式</w:t>
      </w:r>
    </w:p>
    <w:p>
      <w:pPr>
        <w:keepNext w:val="0"/>
        <w:keepLines w:val="0"/>
        <w:pageBreakBefore w:val="0"/>
        <w:widowControl/>
        <w:kinsoku/>
        <w:wordWrap/>
        <w:overflowPunct/>
        <w:topLinePunct w:val="0"/>
        <w:autoSpaceDE w:val="0"/>
        <w:autoSpaceDN w:val="0"/>
        <w:bidi w:val="0"/>
        <w:adjustRightInd w:val="0"/>
        <w:snapToGrid w:val="0"/>
        <w:spacing w:line="360" w:lineRule="auto"/>
        <w:ind w:left="384"/>
        <w:textAlignment w:val="baseline"/>
        <w:rPr>
          <w:rFonts w:ascii="宋体" w:hAnsi="宋体" w:eastAsia="宋体" w:cs="宋体"/>
          <w:color w:val="auto"/>
          <w:sz w:val="21"/>
          <w:szCs w:val="21"/>
          <w:highlight w:val="none"/>
        </w:rPr>
      </w:pPr>
      <w:r>
        <w:rPr>
          <w:rFonts w:ascii="宋体" w:hAnsi="宋体" w:eastAsia="宋体" w:cs="宋体"/>
          <w:color w:val="auto"/>
          <w:position w:val="14"/>
          <w:sz w:val="21"/>
          <w:szCs w:val="21"/>
          <w:highlight w:val="none"/>
        </w:rPr>
        <w:t>采购包</w:t>
      </w:r>
      <w:r>
        <w:rPr>
          <w:rFonts w:ascii="Lucida Sans Unicode" w:hAnsi="Lucida Sans Unicode" w:eastAsia="Lucida Sans Unicode" w:cs="Lucida Sans Unicode"/>
          <w:color w:val="auto"/>
          <w:position w:val="14"/>
          <w:sz w:val="21"/>
          <w:szCs w:val="21"/>
          <w:highlight w:val="none"/>
        </w:rPr>
        <w:t>1</w:t>
      </w:r>
      <w:r>
        <w:rPr>
          <w:rFonts w:ascii="宋体" w:hAnsi="宋体" w:eastAsia="宋体" w:cs="宋体"/>
          <w:color w:val="auto"/>
          <w:position w:val="14"/>
          <w:sz w:val="21"/>
          <w:szCs w:val="21"/>
          <w:highlight w:val="none"/>
        </w:rPr>
        <w:t>：</w:t>
      </w:r>
    </w:p>
    <w:p>
      <w:pPr>
        <w:keepNext w:val="0"/>
        <w:keepLines w:val="0"/>
        <w:pageBreakBefore w:val="0"/>
        <w:widowControl/>
        <w:kinsoku/>
        <w:wordWrap/>
        <w:overflowPunct/>
        <w:topLinePunct w:val="0"/>
        <w:autoSpaceDE w:val="0"/>
        <w:autoSpaceDN w:val="0"/>
        <w:bidi w:val="0"/>
        <w:adjustRightInd w:val="0"/>
        <w:snapToGrid w:val="0"/>
        <w:spacing w:line="360" w:lineRule="auto"/>
        <w:ind w:left="387"/>
        <w:textAlignment w:val="baseline"/>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一次付清</w:t>
      </w:r>
    </w:p>
    <w:p>
      <w:pPr>
        <w:keepNext w:val="0"/>
        <w:keepLines w:val="0"/>
        <w:pageBreakBefore w:val="0"/>
        <w:widowControl/>
        <w:kinsoku/>
        <w:wordWrap/>
        <w:overflowPunct/>
        <w:topLinePunct w:val="0"/>
        <w:autoSpaceDE w:val="0"/>
        <w:autoSpaceDN w:val="0"/>
        <w:bidi w:val="0"/>
        <w:adjustRightInd w:val="0"/>
        <w:snapToGrid w:val="0"/>
        <w:spacing w:line="360" w:lineRule="auto"/>
        <w:ind w:left="6"/>
        <w:textAlignment w:val="baseline"/>
        <w:outlineLvl w:val="3"/>
        <w:rPr>
          <w:rFonts w:ascii="宋体" w:hAnsi="宋体" w:eastAsia="宋体" w:cs="宋体"/>
          <w:color w:val="auto"/>
          <w:sz w:val="19"/>
          <w:szCs w:val="19"/>
        </w:rPr>
      </w:pPr>
      <w:r>
        <w:rPr>
          <w:rFonts w:hint="eastAsia" w:ascii="Microsoft JhengHei" w:hAnsi="Microsoft JhengHei" w:eastAsia="宋体" w:cs="Microsoft JhengHei"/>
          <w:b/>
          <w:bCs/>
          <w:color w:val="auto"/>
          <w:spacing w:val="14"/>
          <w:sz w:val="19"/>
          <w:szCs w:val="19"/>
          <w:lang w:val="en-US" w:eastAsia="zh-CN"/>
        </w:rPr>
        <w:t>1</w:t>
      </w:r>
      <w:r>
        <w:rPr>
          <w:rFonts w:ascii="Microsoft JhengHei" w:hAnsi="Microsoft JhengHei" w:eastAsia="Microsoft JhengHei" w:cs="Microsoft JhengHei"/>
          <w:b/>
          <w:bCs/>
          <w:color w:val="auto"/>
          <w:spacing w:val="14"/>
          <w:sz w:val="19"/>
          <w:szCs w:val="19"/>
        </w:rPr>
        <w:t>.3.5</w:t>
      </w:r>
      <w:r>
        <w:rPr>
          <w:rFonts w:ascii="宋体" w:hAnsi="宋体" w:eastAsia="宋体" w:cs="宋体"/>
          <w:color w:val="auto"/>
          <w:spacing w:val="14"/>
          <w:sz w:val="19"/>
          <w:szCs w:val="19"/>
          <w:highlight w:val="none"/>
        </w:rPr>
        <w:t>支付约定</w:t>
      </w:r>
    </w:p>
    <w:p>
      <w:pPr>
        <w:keepNext w:val="0"/>
        <w:keepLines w:val="0"/>
        <w:pageBreakBefore w:val="0"/>
        <w:widowControl/>
        <w:kinsoku/>
        <w:wordWrap/>
        <w:overflowPunct/>
        <w:topLinePunct w:val="0"/>
        <w:autoSpaceDE w:val="0"/>
        <w:autoSpaceDN w:val="0"/>
        <w:bidi w:val="0"/>
        <w:adjustRightInd w:val="0"/>
        <w:snapToGrid w:val="0"/>
        <w:spacing w:line="360" w:lineRule="auto"/>
        <w:ind w:left="384"/>
        <w:textAlignment w:val="baseline"/>
        <w:rPr>
          <w:rFonts w:hint="eastAsia" w:eastAsia="宋体"/>
          <w:color w:val="auto"/>
          <w:sz w:val="21"/>
          <w:szCs w:val="21"/>
          <w:highlight w:val="none"/>
          <w:lang w:eastAsia="zh-CN"/>
        </w:rPr>
      </w:pPr>
      <w:r>
        <w:rPr>
          <w:rFonts w:ascii="宋体" w:hAnsi="宋体" w:eastAsia="宋体" w:cs="宋体"/>
          <w:color w:val="auto"/>
          <w:spacing w:val="-1"/>
          <w:sz w:val="21"/>
          <w:szCs w:val="21"/>
        </w:rPr>
        <w:t>采购包1：</w:t>
      </w:r>
      <w:r>
        <w:rPr>
          <w:rFonts w:ascii="宋体" w:hAnsi="宋体" w:eastAsia="宋体" w:cs="宋体"/>
          <w:color w:val="auto"/>
          <w:spacing w:val="-1"/>
          <w:sz w:val="21"/>
          <w:szCs w:val="21"/>
          <w:highlight w:val="none"/>
        </w:rPr>
        <w:t>付款条件说明：</w:t>
      </w:r>
      <w:r>
        <w:rPr>
          <w:rFonts w:hint="eastAsia" w:ascii="宋体" w:hAnsi="宋体" w:eastAsia="宋体" w:cs="宋体"/>
          <w:color w:val="auto"/>
          <w:spacing w:val="-1"/>
          <w:sz w:val="21"/>
          <w:szCs w:val="21"/>
          <w:highlight w:val="none"/>
        </w:rPr>
        <w:t>在乙方向甲方提交全部测绘成果并开具发票后15日内，甲方向乙方一次结清测绘项目全部</w:t>
      </w:r>
      <w:r>
        <w:rPr>
          <w:rFonts w:hint="eastAsia" w:ascii="宋体" w:hAnsi="宋体" w:eastAsia="宋体" w:cs="宋体"/>
          <w:color w:val="auto"/>
          <w:spacing w:val="-1"/>
          <w:sz w:val="21"/>
          <w:szCs w:val="21"/>
          <w:highlight w:val="none"/>
          <w:lang w:val="en-US" w:eastAsia="zh-CN"/>
        </w:rPr>
        <w:t>合同</w:t>
      </w:r>
      <w:r>
        <w:rPr>
          <w:rFonts w:hint="eastAsia" w:ascii="宋体" w:hAnsi="宋体" w:eastAsia="宋体" w:cs="宋体"/>
          <w:color w:val="auto"/>
          <w:spacing w:val="-1"/>
          <w:sz w:val="21"/>
          <w:szCs w:val="21"/>
          <w:highlight w:val="none"/>
        </w:rPr>
        <w:t>款</w:t>
      </w:r>
      <w:r>
        <w:rPr>
          <w:rFonts w:hint="eastAsia" w:ascii="宋体" w:hAnsi="宋体" w:eastAsia="宋体" w:cs="宋体"/>
          <w:color w:val="auto"/>
          <w:spacing w:val="-1"/>
          <w:sz w:val="21"/>
          <w:szCs w:val="21"/>
          <w:highlight w:val="none"/>
          <w:lang w:eastAsia="zh-CN"/>
        </w:rPr>
        <w:t>。</w:t>
      </w:r>
    </w:p>
    <w:p>
      <w:pPr>
        <w:keepNext w:val="0"/>
        <w:keepLines w:val="0"/>
        <w:pageBreakBefore w:val="0"/>
        <w:widowControl/>
        <w:kinsoku/>
        <w:wordWrap/>
        <w:overflowPunct/>
        <w:topLinePunct w:val="0"/>
        <w:autoSpaceDE w:val="0"/>
        <w:autoSpaceDN w:val="0"/>
        <w:bidi w:val="0"/>
        <w:adjustRightInd w:val="0"/>
        <w:snapToGrid w:val="0"/>
        <w:spacing w:line="360" w:lineRule="auto"/>
        <w:ind w:left="6"/>
        <w:textAlignment w:val="baseline"/>
        <w:outlineLvl w:val="3"/>
        <w:rPr>
          <w:rFonts w:ascii="宋体" w:hAnsi="宋体" w:eastAsia="宋体" w:cs="宋体"/>
          <w:sz w:val="19"/>
          <w:szCs w:val="19"/>
          <w:highlight w:val="none"/>
        </w:rPr>
      </w:pPr>
      <w:r>
        <w:rPr>
          <w:rFonts w:hint="eastAsia" w:ascii="Microsoft JhengHei" w:hAnsi="Microsoft JhengHei" w:eastAsia="宋体" w:cs="Microsoft JhengHei"/>
          <w:b/>
          <w:bCs/>
          <w:spacing w:val="14"/>
          <w:sz w:val="19"/>
          <w:szCs w:val="19"/>
          <w:lang w:val="en-US" w:eastAsia="zh-CN"/>
        </w:rPr>
        <w:t>1</w:t>
      </w:r>
      <w:r>
        <w:rPr>
          <w:rFonts w:ascii="Microsoft JhengHei" w:hAnsi="Microsoft JhengHei" w:eastAsia="Microsoft JhengHei" w:cs="Microsoft JhengHei"/>
          <w:b/>
          <w:bCs/>
          <w:spacing w:val="14"/>
          <w:sz w:val="19"/>
          <w:szCs w:val="19"/>
        </w:rPr>
        <w:t>.3.</w:t>
      </w:r>
      <w:r>
        <w:rPr>
          <w:rFonts w:ascii="Microsoft JhengHei" w:hAnsi="Microsoft JhengHei" w:eastAsia="Microsoft JhengHei" w:cs="Microsoft JhengHei"/>
          <w:b/>
          <w:bCs/>
          <w:spacing w:val="14"/>
          <w:sz w:val="19"/>
          <w:szCs w:val="19"/>
          <w:highlight w:val="none"/>
        </w:rPr>
        <w:t>6</w:t>
      </w:r>
      <w:r>
        <w:rPr>
          <w:rFonts w:ascii="宋体" w:hAnsi="宋体" w:eastAsia="宋体" w:cs="宋体"/>
          <w:spacing w:val="14"/>
          <w:sz w:val="19"/>
          <w:szCs w:val="19"/>
          <w:highlight w:val="none"/>
        </w:rPr>
        <w:t>违约责任及解决争议的方法</w:t>
      </w:r>
    </w:p>
    <w:p>
      <w:pPr>
        <w:keepNext w:val="0"/>
        <w:keepLines w:val="0"/>
        <w:pageBreakBefore w:val="0"/>
        <w:widowControl/>
        <w:kinsoku/>
        <w:wordWrap/>
        <w:overflowPunct/>
        <w:topLinePunct w:val="0"/>
        <w:autoSpaceDE w:val="0"/>
        <w:autoSpaceDN w:val="0"/>
        <w:bidi w:val="0"/>
        <w:adjustRightInd w:val="0"/>
        <w:snapToGrid w:val="0"/>
        <w:spacing w:line="360" w:lineRule="auto"/>
        <w:ind w:left="384"/>
        <w:textAlignment w:val="baseline"/>
        <w:rPr>
          <w:rFonts w:ascii="宋体" w:hAnsi="宋体" w:eastAsia="宋体" w:cs="宋体"/>
          <w:color w:val="auto"/>
          <w:sz w:val="21"/>
          <w:szCs w:val="21"/>
        </w:rPr>
      </w:pPr>
      <w:r>
        <w:rPr>
          <w:rFonts w:ascii="宋体" w:hAnsi="宋体" w:eastAsia="宋体" w:cs="宋体"/>
          <w:color w:val="auto"/>
          <w:sz w:val="21"/>
          <w:szCs w:val="21"/>
        </w:rPr>
        <w:t>采购包1：</w:t>
      </w:r>
    </w:p>
    <w:p>
      <w:pPr>
        <w:keepNext w:val="0"/>
        <w:keepLines w:val="0"/>
        <w:pageBreakBefore w:val="0"/>
        <w:widowControl/>
        <w:kinsoku/>
        <w:wordWrap/>
        <w:overflowPunct/>
        <w:topLinePunct w:val="0"/>
        <w:autoSpaceDE w:val="0"/>
        <w:autoSpaceDN w:val="0"/>
        <w:bidi w:val="0"/>
        <w:adjustRightInd w:val="0"/>
        <w:snapToGrid w:val="0"/>
        <w:spacing w:line="360" w:lineRule="auto"/>
        <w:ind w:left="384"/>
        <w:textAlignment w:val="baseline"/>
        <w:rPr>
          <w:rFonts w:ascii="宋体" w:hAnsi="宋体" w:eastAsia="宋体" w:cs="宋体"/>
          <w:color w:val="auto"/>
          <w:sz w:val="21"/>
          <w:szCs w:val="21"/>
          <w:highlight w:val="none"/>
        </w:rPr>
      </w:pPr>
      <w:r>
        <w:rPr>
          <w:rFonts w:ascii="宋体" w:hAnsi="宋体" w:eastAsia="宋体" w:cs="宋体"/>
          <w:color w:val="auto"/>
          <w:sz w:val="21"/>
          <w:szCs w:val="21"/>
          <w:highlight w:val="none"/>
        </w:rPr>
        <w:t>详见合同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5"/>
        <w:textAlignment w:val="baseline"/>
        <w:outlineLvl w:val="1"/>
        <w:rPr>
          <w:rFonts w:hint="default" w:ascii="Times New Roman" w:hAnsi="Times New Roman" w:eastAsia="宋体" w:cs="Times New Roman"/>
          <w:b/>
          <w:bCs/>
          <w:spacing w:val="15"/>
          <w:sz w:val="28"/>
          <w:szCs w:val="28"/>
          <w:highlight w:val="none"/>
        </w:rPr>
      </w:pPr>
      <w:r>
        <w:rPr>
          <w:rFonts w:hint="eastAsia" w:ascii="Times New Roman" w:hAnsi="Times New Roman" w:eastAsia="宋体" w:cs="Times New Roman"/>
          <w:b/>
          <w:bCs/>
          <w:spacing w:val="15"/>
          <w:sz w:val="28"/>
          <w:szCs w:val="28"/>
          <w:highlight w:val="none"/>
          <w:lang w:val="en-US" w:eastAsia="zh-CN"/>
        </w:rPr>
        <w:t>1</w:t>
      </w:r>
      <w:bookmarkStart w:id="2" w:name="_GoBack"/>
      <w:bookmarkEnd w:id="2"/>
      <w:r>
        <w:rPr>
          <w:rFonts w:hint="default" w:ascii="Times New Roman" w:hAnsi="Times New Roman" w:eastAsia="宋体" w:cs="Times New Roman"/>
          <w:b/>
          <w:bCs/>
          <w:spacing w:val="15"/>
          <w:sz w:val="28"/>
          <w:szCs w:val="28"/>
          <w:highlight w:val="none"/>
        </w:rPr>
        <w:t>.</w:t>
      </w:r>
      <w:r>
        <w:rPr>
          <w:rFonts w:hint="eastAsia" w:ascii="Times New Roman" w:hAnsi="Times New Roman" w:eastAsia="宋体" w:cs="Times New Roman"/>
          <w:b/>
          <w:bCs/>
          <w:spacing w:val="15"/>
          <w:sz w:val="28"/>
          <w:szCs w:val="28"/>
          <w:highlight w:val="none"/>
          <w:lang w:val="en-US" w:eastAsia="zh-CN"/>
        </w:rPr>
        <w:t>4</w:t>
      </w:r>
      <w:r>
        <w:rPr>
          <w:rFonts w:hint="default" w:ascii="Times New Roman" w:hAnsi="Times New Roman" w:eastAsia="宋体" w:cs="Times New Roman"/>
          <w:b/>
          <w:bCs/>
          <w:spacing w:val="15"/>
          <w:sz w:val="28"/>
          <w:szCs w:val="28"/>
          <w:highlight w:val="none"/>
        </w:rPr>
        <w:t>其他要求</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left="11" w:right="136" w:firstLine="420" w:firstLineChars="200"/>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为顺利推进政府采购电子化交易平台试点应用工作，供应商需要在线提交所有通过电子化交易平台实施的政府采购项目的响应文件，同时，线下提交响应文件正本一</w:t>
      </w:r>
      <w:r>
        <w:rPr>
          <w:rFonts w:hint="eastAsia" w:ascii="Times New Roman" w:hAnsi="Times New Roman" w:eastAsia="宋体" w:cs="Times New Roman"/>
          <w:color w:val="auto"/>
          <w:sz w:val="21"/>
          <w:szCs w:val="21"/>
          <w:highlight w:val="none"/>
          <w:lang w:eastAsia="zh-CN"/>
        </w:rPr>
        <w:t>套</w:t>
      </w:r>
      <w:r>
        <w:rPr>
          <w:rFonts w:hint="default" w:ascii="Times New Roman" w:hAnsi="Times New Roman" w:eastAsia="宋体" w:cs="Times New Roman"/>
          <w:color w:val="auto"/>
          <w:sz w:val="21"/>
          <w:szCs w:val="21"/>
          <w:highlight w:val="none"/>
        </w:rPr>
        <w:t>、副本两套、电子光盘一份（光盘需包括</w:t>
      </w:r>
      <w:r>
        <w:rPr>
          <w:rFonts w:hint="eastAsia" w:ascii="Times New Roman" w:hAnsi="Times New Roman" w:eastAsia="宋体" w:cs="Times New Roman"/>
          <w:color w:val="auto"/>
          <w:sz w:val="21"/>
          <w:szCs w:val="21"/>
          <w:highlight w:val="none"/>
          <w:lang w:eastAsia="zh-CN"/>
        </w:rPr>
        <w:t>系统生成的全部已签章响应文件（</w:t>
      </w:r>
      <w:r>
        <w:rPr>
          <w:rFonts w:hint="eastAsia" w:ascii="Times New Roman" w:hAnsi="Times New Roman" w:eastAsia="宋体" w:cs="Times New Roman"/>
          <w:color w:val="auto"/>
          <w:sz w:val="21"/>
          <w:szCs w:val="21"/>
          <w:highlight w:val="none"/>
          <w:lang w:val="en-US" w:eastAsia="zh-CN"/>
        </w:rPr>
        <w:t>PDF格式</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、光盘标明供应商名称，随正本密封），文件须密封（密封以不泄露供应商商业机密、资格内容、技术及商务内容为标准）。若电子响应文件与纸质响应文件不一致的，以</w:t>
      </w:r>
      <w:r>
        <w:rPr>
          <w:rFonts w:hint="default" w:ascii="Times New Roman" w:hAnsi="Times New Roman" w:eastAsia="宋体" w:cs="Times New Roman"/>
          <w:color w:val="auto"/>
          <w:sz w:val="21"/>
          <w:szCs w:val="21"/>
          <w:highlight w:val="none"/>
          <w:lang w:eastAsia="zh-CN"/>
        </w:rPr>
        <w:t>电子</w:t>
      </w:r>
      <w:r>
        <w:rPr>
          <w:rFonts w:hint="default" w:ascii="Times New Roman" w:hAnsi="Times New Roman" w:eastAsia="宋体" w:cs="Times New Roman"/>
          <w:color w:val="auto"/>
          <w:sz w:val="21"/>
          <w:szCs w:val="21"/>
          <w:highlight w:val="none"/>
        </w:rPr>
        <w:t>响应文件为准。线下开启响应文件时间与项目电子化开标时间一致，线下开启响应文件地点：西安市莲湖区丰登南路9号怡景花园酒店裙楼（A座）2层第二会议室</w:t>
      </w:r>
      <w:r>
        <w:rPr>
          <w:rFonts w:hint="eastAsia" w:ascii="Times New Roman" w:hAnsi="Times New Roman" w:eastAsia="宋体" w:cs="Times New Roman"/>
          <w:b/>
          <w:bCs/>
          <w:color w:val="auto"/>
          <w:sz w:val="21"/>
          <w:szCs w:val="21"/>
          <w:highlight w:val="none"/>
          <w:lang w:eastAsia="zh-CN"/>
        </w:rPr>
        <w:t>（公告中其他补充事宜）</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left="11" w:right="136" w:firstLine="420" w:firstLineChars="200"/>
        <w:textAlignment w:val="baseline"/>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color w:val="auto"/>
          <w:sz w:val="21"/>
          <w:szCs w:val="21"/>
          <w:highlight w:val="none"/>
        </w:rPr>
        <w:t>供应商的磋商报价是供应商响应磋商项目要求的全部工作内容的价格体现，包括供应商完成本项目所需的直接费、间接费、利润、税金及其它相关的一切费用。包括但不限于：人工费、设备费、管理费、验收费、采购代理服务费、利润和税金等全部费 用。在提供服务的过程中的任何遗漏，均由成交供应商免费提供，采购人将不再支付任何费用。</w:t>
      </w:r>
    </w:p>
    <w:p>
      <w:pPr>
        <w:pStyle w:val="2"/>
        <w:numPr>
          <w:ilvl w:val="0"/>
          <w:numId w:val="1"/>
        </w:numPr>
        <w:spacing w:line="360" w:lineRule="auto"/>
        <w:ind w:left="11" w:leftChars="0" w:firstLine="420" w:firstLineChars="200"/>
        <w:rPr>
          <w:rFonts w:hint="eastAsia" w:ascii="Times New Roman" w:hAnsi="Times New Roman" w:eastAsia="宋体" w:cs="Times New Roman"/>
          <w:b w:val="0"/>
          <w:bCs w:val="0"/>
          <w:color w:val="auto"/>
          <w:sz w:val="21"/>
          <w:szCs w:val="21"/>
          <w:highlight w:val="none"/>
          <w:lang w:eastAsia="zh-CN"/>
        </w:rPr>
      </w:pPr>
      <w:r>
        <w:rPr>
          <w:rFonts w:hint="eastAsia" w:ascii="Times New Roman" w:hAnsi="Times New Roman" w:eastAsia="宋体" w:cs="Times New Roman"/>
          <w:b w:val="0"/>
          <w:bCs w:val="0"/>
          <w:color w:val="auto"/>
          <w:sz w:val="21"/>
          <w:szCs w:val="21"/>
          <w:highlight w:val="none"/>
          <w:lang w:eastAsia="zh-CN"/>
        </w:rPr>
        <w:t>磋商有效期</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right="0" w:rightChars="0" w:firstLine="420" w:firstLineChars="200"/>
        <w:textAlignment w:val="baseline"/>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snapToGrid w:val="0"/>
          <w:color w:val="auto"/>
          <w:kern w:val="0"/>
          <w:sz w:val="21"/>
          <w:szCs w:val="21"/>
          <w:highlight w:val="none"/>
          <w:lang w:val="en-US" w:eastAsia="zh-CN" w:bidi="ar-SA"/>
        </w:rPr>
        <w:t>1.</w:t>
      </w:r>
      <w:r>
        <w:rPr>
          <w:rFonts w:hint="default" w:ascii="Times New Roman" w:hAnsi="Times New Roman" w:eastAsia="宋体" w:cs="Times New Roman"/>
          <w:snapToGrid w:val="0"/>
          <w:color w:val="auto"/>
          <w:kern w:val="0"/>
          <w:sz w:val="21"/>
          <w:szCs w:val="21"/>
          <w:highlight w:val="none"/>
          <w:lang w:val="en-US" w:eastAsia="zh-CN" w:bidi="ar-SA"/>
        </w:rPr>
        <w:t>出现特殊情况需要延</w:t>
      </w:r>
      <w:r>
        <w:rPr>
          <w:rFonts w:hint="default" w:ascii="Times New Roman" w:hAnsi="Times New Roman" w:eastAsia="宋体" w:cs="Times New Roman"/>
          <w:color w:val="auto"/>
          <w:sz w:val="21"/>
          <w:szCs w:val="21"/>
          <w:highlight w:val="none"/>
          <w:lang w:val="en-US" w:eastAsia="zh-CN"/>
        </w:rPr>
        <w:t>长磋商有效期的，采购代理机构或采购人可于磋商有效期满之前，以书面形式通知所有供应商延长磋商有效期。供应商应予书面答复，同意延长的，应相应延长其磋商保证金有效期，但不得要求或被允许修改其响应文件；供应商拒绝延长的，其响应文件失效</w:t>
      </w:r>
      <w:r>
        <w:rPr>
          <w:rFonts w:hint="eastAsia" w:ascii="Times New Roman" w:hAnsi="Times New Roman" w:eastAsia="宋体" w:cs="Times New Roman"/>
          <w:color w:val="auto"/>
          <w:sz w:val="21"/>
          <w:szCs w:val="21"/>
          <w:highlight w:val="none"/>
          <w:lang w:val="en-US" w:eastAsia="zh-CN"/>
        </w:rPr>
        <w:t>，递交磋商保证金的，</w:t>
      </w:r>
      <w:r>
        <w:rPr>
          <w:rFonts w:hint="default" w:ascii="Times New Roman" w:hAnsi="Times New Roman" w:eastAsia="宋体" w:cs="Times New Roman"/>
          <w:color w:val="auto"/>
          <w:sz w:val="21"/>
          <w:szCs w:val="21"/>
          <w:highlight w:val="none"/>
          <w:lang w:val="en-US" w:eastAsia="zh-CN"/>
        </w:rPr>
        <w:t>供应商有权收回其磋商保证金。</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right="0" w:rightChars="0" w:firstLine="420" w:firstLineChars="200"/>
        <w:textAlignment w:val="baseline"/>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lang w:val="en-US" w:eastAsia="zh-CN"/>
        </w:rPr>
        <w:t>在磋商有效期内，供应商撤销响应文件的，应承担磋商文件和法律规定的责任。</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right="0" w:rightChars="0" w:firstLine="420" w:firstLineChars="200"/>
        <w:textAlignment w:val="baseline"/>
        <w:rPr>
          <w:rFonts w:hint="default" w:ascii="Times New Roman" w:hAnsi="Times New Roman" w:eastAsia="宋体" w:cs="Times New Roman"/>
          <w:snapToGrid w:val="0"/>
          <w:color w:val="auto"/>
          <w:kern w:val="0"/>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lang w:val="en-US" w:eastAsia="zh-CN"/>
        </w:rPr>
        <w:t>成交供应商的磋商有效期自</w:t>
      </w:r>
      <w:r>
        <w:rPr>
          <w:rFonts w:hint="default" w:ascii="Times New Roman" w:hAnsi="Times New Roman" w:eastAsia="宋体" w:cs="Times New Roman"/>
          <w:snapToGrid w:val="0"/>
          <w:color w:val="auto"/>
          <w:kern w:val="0"/>
          <w:sz w:val="21"/>
          <w:szCs w:val="21"/>
          <w:highlight w:val="none"/>
          <w:lang w:val="en-US" w:eastAsia="zh-CN" w:bidi="ar-SA"/>
        </w:rPr>
        <w:t>动延长至合同终止为止。</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left="11" w:right="136" w:firstLine="422" w:firstLineChars="200"/>
        <w:textAlignment w:val="baseline"/>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合格供应商少于3家的处理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right="0" w:rightChars="0" w:firstLine="420" w:firstLineChars="200"/>
        <w:textAlignment w:val="baseline"/>
        <w:rPr>
          <w:rFonts w:hint="default" w:ascii="Times New Roman" w:hAnsi="Times New Roman" w:eastAsia="宋体" w:cs="Times New Roman"/>
          <w:color w:val="auto"/>
          <w:sz w:val="21"/>
          <w:szCs w:val="21"/>
          <w:highlight w:val="none"/>
          <w:u w:val="none"/>
        </w:rPr>
      </w:pPr>
      <w:r>
        <w:rPr>
          <w:rFonts w:hint="default" w:ascii="Times New Roman" w:hAnsi="Times New Roman" w:eastAsia="宋体" w:cs="Times New Roman"/>
          <w:color w:val="auto"/>
          <w:sz w:val="21"/>
          <w:szCs w:val="21"/>
          <w:highlight w:val="none"/>
          <w:u w:val="none"/>
        </w:rPr>
        <w:t>1.评审过程中，若出现合格供应商只有2家时，符合《政府采购竞争性磋商采购方式管理暂行办法》第3条第4项情形的，或者本项目为政府购买服务指导性目录中的，可以继续进行；只有1家时，采购人应依法重新组织采购活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right="0" w:rightChars="0" w:firstLine="420" w:firstLineChars="200"/>
        <w:textAlignment w:val="baseline"/>
        <w:rPr>
          <w:rFonts w:hint="default" w:ascii="Times New Roman" w:hAnsi="Times New Roman" w:eastAsia="宋体" w:cs="Times New Roman"/>
          <w:color w:val="auto"/>
          <w:sz w:val="21"/>
          <w:szCs w:val="21"/>
          <w:highlight w:val="none"/>
          <w:u w:val="none"/>
        </w:rPr>
      </w:pPr>
      <w:r>
        <w:rPr>
          <w:rFonts w:hint="default" w:ascii="Times New Roman" w:hAnsi="Times New Roman" w:eastAsia="宋体" w:cs="Times New Roman"/>
          <w:color w:val="auto"/>
          <w:sz w:val="21"/>
          <w:szCs w:val="21"/>
          <w:highlight w:val="none"/>
          <w:u w:val="none"/>
        </w:rPr>
        <w:t>2.评审过程中，除符合第1条条款规定情形外，若出现合格供应商少于3家时，采购人应依法重新组织采购活动。</w:t>
      </w:r>
    </w:p>
    <w:p>
      <w:pPr>
        <w:pStyle w:val="2"/>
        <w:numPr>
          <w:ilvl w:val="0"/>
          <w:numId w:val="1"/>
        </w:numPr>
        <w:spacing w:line="360" w:lineRule="auto"/>
        <w:ind w:left="11" w:leftChars="0" w:firstLine="422" w:firstLineChars="200"/>
        <w:rPr>
          <w:rFonts w:hint="eastAsia"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分公司独立参与磋商时，不能使用总公司的资质或业绩；总公司单独参与磋商时，除总公司所投产品为分公司生产的产品外，不能使用分公司的资质或业绩。总公司授权分公司或分支机构参与磋商，可以使用总公司的资质或业绩。</w:t>
      </w:r>
    </w:p>
    <w:p>
      <w:pPr>
        <w:pStyle w:val="2"/>
        <w:numPr>
          <w:ilvl w:val="0"/>
          <w:numId w:val="1"/>
        </w:numPr>
        <w:spacing w:line="360" w:lineRule="auto"/>
        <w:ind w:left="11" w:leftChars="0" w:firstLine="422" w:firstLineChars="200"/>
        <w:rPr>
          <w:rFonts w:hint="eastAsia"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恶意质疑、投诉的法律后果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right="0" w:rightChars="0" w:firstLine="420" w:firstLineChars="200"/>
        <w:textAlignment w:val="baseline"/>
        <w:rPr>
          <w:rFonts w:hint="eastAsia"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1.对捏造事实、提供虚假材料进行质疑、投诉的行为将予以严肃处理：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right="0" w:rightChars="0" w:firstLine="420" w:firstLineChars="200"/>
        <w:textAlignment w:val="baseline"/>
        <w:rPr>
          <w:rFonts w:hint="eastAsia"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政府采购质疑和投诉办法》（财政部令第94号）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right="0" w:rightChars="0" w:firstLine="420" w:firstLineChars="200"/>
        <w:textAlignment w:val="baseline"/>
        <w:rPr>
          <w:rFonts w:hint="eastAsia"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2.对捏造事实诬告陷害他人、诽谤他人的法律适用：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right="0" w:rightChars="0" w:firstLine="420" w:firstLineChars="200"/>
        <w:textAlignment w:val="baseline"/>
        <w:rPr>
          <w:rFonts w:hint="eastAsia"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（1）《中华人民共和国刑法》第243条【诬告陷害罪】捏造事实诬告陷害他人，意图使他人受刑事追究，情节严重的，处三年以下有期徒刑、拘役或者管制；造成严重后果的，处三年以上十年以下有期徒刑。</w:t>
      </w:r>
    </w:p>
    <w:p>
      <w:r>
        <w:rPr>
          <w:rFonts w:hint="eastAsia" w:ascii="Times New Roman" w:hAnsi="Times New Roman" w:eastAsia="宋体" w:cs="Times New Roman"/>
          <w:b w:val="0"/>
          <w:bCs w:val="0"/>
          <w:color w:val="auto"/>
          <w:sz w:val="21"/>
          <w:szCs w:val="21"/>
          <w:highlight w:val="none"/>
          <w:lang w:val="en-US" w:eastAsia="zh-CN"/>
        </w:rPr>
        <w:t>（2）《中华人民共和国刑法》第246条【侮辱罪、诽谤罪】以暴力或者其他方法公然侮辱他人或者捏造事实诽谤他人，情节严重的，处三年以下有期徒刑、拘役、管制或者剥夺政治权利。</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auto"/>
    <w:pitch w:val="default"/>
    <w:sig w:usb0="000002A7" w:usb1="28CF4400" w:usb2="00000016" w:usb3="00000000" w:csb0="00100009" w:csb1="00000000"/>
  </w:font>
  <w:font w:name="Lucida Sans Unicode">
    <w:panose1 w:val="020B0602030504020204"/>
    <w:charset w:val="00"/>
    <w:family w:val="auto"/>
    <w:pitch w:val="default"/>
    <w:sig w:usb0="80001AFF" w:usb1="0000396B" w:usb2="00000000" w:usb3="00000000" w:csb0="200000BF" w:csb1="D7F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4C1FEF"/>
    <w:multiLevelType w:val="singleLevel"/>
    <w:tmpl w:val="6D4C1FE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4MTg4NzM5MmMxMzE3OTU5ZTE4YzVhNTk4NDcwY2UifQ=="/>
  </w:docVars>
  <w:rsids>
    <w:rsidRoot w:val="23B72F89"/>
    <w:rsid w:val="23B72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4">
    <w:name w:val="heading 2"/>
    <w:basedOn w:val="1"/>
    <w:next w:val="5"/>
    <w:qFormat/>
    <w:uiPriority w:val="0"/>
    <w:pPr>
      <w:keepNext/>
      <w:keepLines/>
      <w:spacing w:before="260" w:after="260" w:line="500" w:lineRule="exact"/>
      <w:outlineLvl w:val="1"/>
    </w:pPr>
    <w:rPr>
      <w:rFonts w:ascii="Arial" w:hAnsi="Arial" w:eastAsia="黑体"/>
      <w:b/>
      <w:sz w:val="28"/>
      <w:szCs w:val="20"/>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szCs w:val="24"/>
    </w:rPr>
  </w:style>
  <w:style w:type="paragraph" w:styleId="3">
    <w:name w:val="Body Text"/>
    <w:basedOn w:val="1"/>
    <w:semiHidden/>
    <w:qFormat/>
    <w:uiPriority w:val="0"/>
    <w:rPr>
      <w:rFonts w:ascii="Arial" w:hAnsi="Arial" w:eastAsia="Arial" w:cs="Arial"/>
      <w:sz w:val="21"/>
      <w:szCs w:val="21"/>
      <w:lang w:val="en-US" w:eastAsia="en-US" w:bidi="ar-SA"/>
    </w:rPr>
  </w:style>
  <w:style w:type="paragraph" w:styleId="5">
    <w:name w:val="Normal Indent"/>
    <w:basedOn w:val="1"/>
    <w:next w:val="1"/>
    <w:qFormat/>
    <w:uiPriority w:val="0"/>
    <w:pPr>
      <w:ind w:firstLine="420"/>
    </w:pPr>
    <w:rPr>
      <w:szCs w:val="20"/>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2024-02-04T08:36:00Z</dcterms:created>
  <dc:creator>Gxq</dc:creator>
  <cp:lastModifiedBy>Gxq</cp:lastModifiedBy>
  <dcterms:modified xsi:type="dcterms:W3CDTF">2024-02-04T08:38:11Z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5AA06698C0544E68B6C3CD507D1092EF_11</vt:lpwstr>
  </property>
</Properties>
</file>