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2024年11月至2025年8月营养改善计划-蔬菜、干货、调料</w:t>
      </w:r>
    </w:p>
    <w:p>
      <w:pPr>
        <w:pStyle w:val="null3"/>
        <w:jc w:val="center"/>
        <w:outlineLvl w:val="2"/>
      </w:pPr>
      <w:r>
        <w:rPr>
          <w:sz w:val="28"/>
          <w:b/>
        </w:rPr>
        <w:t>采购项目编号：</w:t>
      </w:r>
      <w:r>
        <w:rPr>
          <w:sz w:val="28"/>
          <w:b/>
        </w:rPr>
        <w:t>KY2024-08-185</w:t>
      </w:r>
      <w:r>
        <w:br/>
      </w:r>
      <w:r>
        <w:br/>
      </w:r>
      <w:r>
        <w:br/>
      </w:r>
    </w:p>
    <w:p>
      <w:pPr>
        <w:pStyle w:val="null3"/>
        <w:jc w:val="center"/>
        <w:outlineLvl w:val="2"/>
      </w:pPr>
      <w:r>
        <w:rPr>
          <w:sz w:val="28"/>
          <w:b/>
        </w:rPr>
        <w:t>西安市长安区太乙宫街道中心学校</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西安市长安区太乙宫街道中心学校</w:t>
      </w:r>
      <w:r>
        <w:rPr/>
        <w:t>委托，拟对</w:t>
      </w:r>
      <w:r>
        <w:rPr/>
        <w:t>2024年11月至2025年8月营养改善计划-蔬菜、干货、调料</w:t>
      </w:r>
      <w:r>
        <w:rPr/>
        <w:t>进行国内公开招标，兹邀请符合本次招标要求的供应商参加投标。</w:t>
      </w:r>
    </w:p>
    <w:p>
      <w:pPr>
        <w:pStyle w:val="null3"/>
        <w:outlineLvl w:val="2"/>
      </w:pPr>
      <w:r>
        <w:rPr>
          <w:sz w:val="28"/>
          <w:b/>
        </w:rPr>
        <w:t>一、采购项目编号：</w:t>
      </w:r>
      <w:r>
        <w:rPr>
          <w:sz w:val="28"/>
          <w:b/>
        </w:rPr>
        <w:t>KY2024-08-185</w:t>
      </w:r>
    </w:p>
    <w:p>
      <w:pPr>
        <w:pStyle w:val="null3"/>
        <w:outlineLvl w:val="2"/>
      </w:pPr>
      <w:r>
        <w:rPr>
          <w:sz w:val="28"/>
          <w:b/>
        </w:rPr>
        <w:t>二、采购项目名称：</w:t>
      </w:r>
      <w:r>
        <w:rPr>
          <w:sz w:val="28"/>
          <w:b/>
        </w:rPr>
        <w:t>2024年11月至2025年8月营养改善计划-蔬菜、干货、调料</w:t>
      </w:r>
    </w:p>
    <w:p>
      <w:pPr>
        <w:pStyle w:val="null3"/>
        <w:outlineLvl w:val="2"/>
      </w:pPr>
      <w:r>
        <w:rPr>
          <w:sz w:val="28"/>
          <w:b/>
        </w:rPr>
        <w:t>三、招标项目简介</w:t>
      </w:r>
    </w:p>
    <w:p>
      <w:pPr>
        <w:pStyle w:val="null3"/>
        <w:ind w:firstLine="480"/>
      </w:pPr>
      <w:r>
        <w:rPr/>
        <w:t>西安市长安区太乙宫街道中心学校2024年11月至2025年8月营养改善计划-蔬菜、干货、调料，1批，采购预算：412366.50元，具体内容详见第三章。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 或自然人，并出具合法有效的营业执照或事业 单位法人证书等国家规定的相关证明，自然人 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7、法定代表人授权书：投标人应授权合法的人员参加投标，其中法定代表人直接参加的，须出具法定代表人证明书；被授权代表参加的，须出具法定代表人授权书；</w:t>
      </w:r>
    </w:p>
    <w:p>
      <w:pPr>
        <w:pStyle w:val="null3"/>
      </w:pPr>
      <w:r>
        <w:rPr/>
        <w:t>8、企业资质：投标人为生产厂家的须提供《食品生产许可证》；投标人为代理商的须提供《食品经营许可证》；</w:t>
      </w:r>
    </w:p>
    <w:p>
      <w:pPr>
        <w:pStyle w:val="null3"/>
      </w:pPr>
      <w:r>
        <w:rPr/>
        <w:t>9、直接控股、管理关系：单位负责人为同一人或存在直接控股、管理关系的不同单位，不得同时参加本项目投标活动；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西安市长安区太乙宫街道中心学校</w:t>
      </w:r>
    </w:p>
    <w:p>
      <w:pPr>
        <w:pStyle w:val="null3"/>
      </w:pPr>
      <w:r>
        <w:rPr/>
        <w:t xml:space="preserve"> 地址： </w:t>
      </w:r>
      <w:r>
        <w:rPr/>
        <w:t>西安市长安区太乙宫街道办事处四皓村委会</w:t>
      </w:r>
    </w:p>
    <w:p>
      <w:pPr>
        <w:pStyle w:val="null3"/>
      </w:pPr>
      <w:r>
        <w:rPr/>
        <w:t xml:space="preserve"> 邮编： </w:t>
      </w:r>
      <w:r>
        <w:rPr/>
        <w:t>710105</w:t>
      </w:r>
    </w:p>
    <w:p>
      <w:pPr>
        <w:pStyle w:val="null3"/>
      </w:pPr>
      <w:r>
        <w:rPr/>
        <w:t xml:space="preserve"> 联系人： </w:t>
      </w:r>
      <w:r>
        <w:rPr/>
        <w:t>陈老师</w:t>
      </w:r>
    </w:p>
    <w:p>
      <w:pPr>
        <w:pStyle w:val="null3"/>
      </w:pPr>
      <w:r>
        <w:rPr/>
        <w:t xml:space="preserve"> 联系电话： </w:t>
      </w:r>
      <w:r>
        <w:rPr/>
        <w:t>029-85891669</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丁嘉伟</w:t>
      </w:r>
    </w:p>
    <w:p>
      <w:pPr>
        <w:pStyle w:val="null3"/>
      </w:pPr>
      <w:r>
        <w:rPr/>
        <w:t xml:space="preserve"> 联系电话： </w:t>
      </w:r>
      <w:r>
        <w:rPr/>
        <w:t>029-81206622-812</w:t>
      </w:r>
    </w:p>
    <w:p>
      <w:pPr>
        <w:pStyle w:val="null3"/>
        <w:outlineLvl w:val="2"/>
      </w:pPr>
      <w:r>
        <w:rPr>
          <w:sz w:val="28"/>
          <w:b/>
        </w:rPr>
        <w:t>采购监督机构：</w:t>
      </w:r>
      <w:r>
        <w:rPr>
          <w:sz w:val="28"/>
          <w:b/>
        </w:rPr>
        <w:t>西安市长安区政府采购管理处</w:t>
      </w:r>
    </w:p>
    <w:p>
      <w:pPr>
        <w:pStyle w:val="null3"/>
        <w:ind w:firstLine="480"/>
      </w:pPr>
      <w:r>
        <w:rPr/>
        <w:t>联系人：</w:t>
      </w:r>
      <w:r>
        <w:rPr/>
        <w:t>左老师</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采购包1：412,366.50元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代理服务费收费标准：1、成交服务费参照国家发展和改革委员会《招标代理服务收费暂行办法》（计价格[2002]1980号）及发改办价格[2003]857号文件的规定标准收取。 2、本项目代理服务费按预算金额收取。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西安市长安区太乙宫街道中心学校</w:t>
      </w:r>
      <w:r>
        <w:rPr/>
        <w:t>和</w:t>
      </w:r>
      <w:r>
        <w:rPr/>
        <w:t>陕西开源招标有限公司</w:t>
      </w:r>
      <w:r>
        <w:rPr/>
        <w:t>享有。对招标文件中供应商参加本次政府采购活动应当具备的条件，招标项目技术、服务、商务及其他要求，评标细则及标准由</w:t>
      </w:r>
      <w:r>
        <w:rPr/>
        <w:t>西安市长安区太乙宫街道中心学校</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西安市长安区太乙宫街道中心学校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根据招标文件、投标文件以及合同约定执行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联系人：丁嘉伟</w:t>
      </w:r>
    </w:p>
    <w:p>
      <w:pPr>
        <w:pStyle w:val="null3"/>
      </w:pPr>
      <w:r>
        <w:rPr/>
        <w:t>联系电话：029-81206622-812（549470923@qq.com）</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西安市长安区太乙宫街道中心学校2024年11月至2025年8月营养改善计划-蔬菜、干货、调料，1批。</w:t>
      </w:r>
    </w:p>
    <w:p>
      <w:pPr>
        <w:pStyle w:val="null3"/>
        <w:outlineLvl w:val="2"/>
      </w:pPr>
      <w:r>
        <w:rPr>
          <w:sz w:val="28"/>
          <w:b/>
        </w:rPr>
        <w:t>3.2采购内容</w:t>
      </w:r>
    </w:p>
    <w:p>
      <w:pPr>
        <w:pStyle w:val="null3"/>
      </w:pPr>
      <w:r>
        <w:rPr/>
        <w:t>采购包1：</w:t>
      </w:r>
    </w:p>
    <w:p>
      <w:pPr>
        <w:pStyle w:val="null3"/>
      </w:pPr>
      <w:r>
        <w:rPr/>
        <w:t>采购包预算金额（元）: 412,366.50</w:t>
      </w:r>
    </w:p>
    <w:p>
      <w:pPr>
        <w:pStyle w:val="null3"/>
      </w:pPr>
      <w:r>
        <w:rPr/>
        <w:t>采购包最高限价（元）: 412,366.50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西安市长安区太乙宫街道中心学校2024年11月至2025年8月营养改善计划-蔬菜、干货、调料</w:t>
            </w:r>
          </w:p>
        </w:tc>
        <w:tc>
          <w:tcPr>
            <w:tcW w:type="dxa" w:w="831"/>
          </w:tcPr>
          <w:p>
            <w:pPr>
              <w:pStyle w:val="null3"/>
              <w:jc w:val="right"/>
            </w:pPr>
            <w:r>
              <w:rPr/>
              <w:t>1.00</w:t>
            </w:r>
          </w:p>
        </w:tc>
        <w:tc>
          <w:tcPr>
            <w:tcW w:type="dxa" w:w="831"/>
          </w:tcPr>
          <w:p>
            <w:pPr>
              <w:pStyle w:val="null3"/>
              <w:jc w:val="right"/>
            </w:pPr>
            <w:r>
              <w:rPr/>
              <w:t>412,366.50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标的名称：西安市长安区太乙宫街道中心学校2024年11月至2025年8月营养改善计划-蔬菜、干货、调料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7"/>
              <w:gridCol w:w="400"/>
              <w:gridCol w:w="810"/>
              <w:gridCol w:w="945"/>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品名</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质量要求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具有产品应有的色泽、滋味和气味，无异味，无霉变</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净笋</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新鲜、脆嫩</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青菜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新鲜，无烂叶、黄叶</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蘑菇</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鲜嫩、饱满、有弹性</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冬瓜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果面清洁、无腐烂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玉米</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新鲜，无虫害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大葱</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清洁</w:t>
                  </w:r>
                  <w:r>
                    <w:rPr>
                      <w:rFonts w:ascii="宋体" w:hAnsi="宋体" w:cs="宋体" w:eastAsia="宋体"/>
                      <w:sz w:val="22"/>
                      <w:color w:val="000000"/>
                    </w:rPr>
                    <w:t>,整齐,直立,葱白肥厚,松紧适葱白无破裂、无损伤</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豆腐干</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形状完整、薄厚均匀、无焦糊</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豆腐皮</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有光泽、色泽均匀，有豆香味，无异味、无霉变</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花生米</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果粒完整，无病变粒、霉变粒</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海带丝</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符合海带标准和食品安全相关规定</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无黄叶、烂叶</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表面有光泽，不脱水，无皱褶</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洋葱</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新鲜洁净，无软腐、无异味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豆芽</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符合豆芽卫生标准，整齐、无腐烂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土豆</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完整、健全、不带绿色</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西红柿</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芹菜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新鲜有光泽，无萎蔫、黄化</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香菇</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饱满、有弹性</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红萝卜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无病虫害、皱缩</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无漂白</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茄子</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果实有光泽，硬实、无萎蔫</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莲花白</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结实紧凑、无老帮</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西兰花</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菜花</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表面光滑，硬实、无皱褶</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山药</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外观新鲜、粗细均匀、色泽均匀，无疤痕、缺陷</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红薯</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完整、健全、无虫害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南瓜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色泽均匀一致，果面光洁，无虫斑、无病斑</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西葫芦</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鲜嫩、有光泽、无病变</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菜椒</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粉条</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粗细均匀，无并丝、无异味、无杂质</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木耳</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有光泽、耳片完整、无异味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黄花菜</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色泽淡黄或金黄，条色均匀，有光泽</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腐竹</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有光泽，色泽均匀，有豆香味、无异味、无霉变</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干辣椒</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果面均匀，色泽一致，无黑斑、虫蚀</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蒜薹</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色泽鲜绿，质地脆嫩</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鲜香菇</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色泽均匀，无酸臭、霉变等异味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银耳</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耳片半透明、有光泽，无异味</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蚝油</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豆辨酱</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10斤/桶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生抽</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老抽</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醋</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10L/桶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盐</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350g/袋</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鸡精</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500g/袋</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FF"/>
                    </w:rPr>
                    <w:t>47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糖</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料酒</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花椒</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八角</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桂皮</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香叶</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香油</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十三香</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45g/盒</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bl>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b/>
              </w:rPr>
              <w:t>2.</w:t>
            </w:r>
            <w:r>
              <w:rPr>
                <w:rFonts w:ascii="宋体" w:hAnsi="宋体" w:cs="宋体" w:eastAsia="宋体"/>
                <w:sz w:val="21"/>
                <w:b/>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交供应商应严格遵守《中华人民共和国食品卫生法》、《食品安全法》、《食品安全条例》，严格按照货物国家标准规范及有关要求进行供货，不出售不洁、过期、变质食品，杜绝食物中毒事故发生，有符合卫生条件的大鲜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）成交供应商负责指导各学校做好食品的保管工作，并提供食品储存保管方式方法。</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）包装与加工按照采购单位要求执行：应按配送要求分类打包，以上货物均须按照国家标准进行包装。</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）成交供应商必须在配送过程中按有关部门的要求及时向配送校点提供各类票据、原始凭证，由学校清点核对、验收、签字后生效，并作为付款凭证。</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）如成交供应商不按时每天上午</w:t>
            </w:r>
            <w:r>
              <w:rPr>
                <w:rFonts w:ascii="calibri" w:hAnsi="calibri" w:cs="calibri" w:eastAsia="calibri"/>
                <w:sz w:val="21"/>
              </w:rPr>
              <w:t>9</w:t>
            </w:r>
            <w:r>
              <w:rPr>
                <w:rFonts w:ascii="宋体" w:hAnsi="宋体" w:cs="宋体" w:eastAsia="宋体"/>
                <w:sz w:val="21"/>
              </w:rPr>
              <w:t>：</w:t>
            </w:r>
            <w:r>
              <w:rPr>
                <w:rFonts w:ascii="calibri" w:hAnsi="calibri" w:cs="calibri" w:eastAsia="calibri"/>
                <w:sz w:val="21"/>
              </w:rPr>
              <w:t xml:space="preserve">00 </w:t>
            </w:r>
            <w:r>
              <w:rPr>
                <w:rFonts w:ascii="宋体" w:hAnsi="宋体" w:cs="宋体" w:eastAsia="宋体"/>
                <w:sz w:val="21"/>
              </w:rPr>
              <w:t>前送货到各指定校点</w:t>
            </w:r>
            <w:r>
              <w:rPr>
                <w:rFonts w:ascii="calibri" w:hAnsi="calibri" w:cs="calibri" w:eastAsia="calibri"/>
                <w:sz w:val="21"/>
              </w:rPr>
              <w:t>,</w:t>
            </w:r>
            <w:r>
              <w:rPr>
                <w:rFonts w:ascii="宋体" w:hAnsi="宋体" w:cs="宋体" w:eastAsia="宋体"/>
                <w:sz w:val="21"/>
              </w:rPr>
              <w:t>影响就餐的，采购单位有权扣除供应商当日货款的</w:t>
            </w:r>
            <w:r>
              <w:rPr>
                <w:rFonts w:ascii="calibri" w:hAnsi="calibri" w:cs="calibri" w:eastAsia="calibri"/>
                <w:sz w:val="21"/>
              </w:rPr>
              <w:t>3</w:t>
            </w:r>
            <w:r>
              <w:rPr>
                <w:rFonts w:ascii="宋体" w:hAnsi="宋体" w:cs="宋体" w:eastAsia="宋体"/>
                <w:sz w:val="21"/>
              </w:rPr>
              <w:t>倍为违约赔偿金。</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calibri" w:hAnsi="calibri" w:cs="calibri" w:eastAsia="calibri"/>
                <w:sz w:val="21"/>
              </w:rPr>
              <w:t>3.</w:t>
            </w:r>
            <w:r>
              <w:rPr>
                <w:rFonts w:ascii="宋体" w:hAnsi="宋体" w:cs="宋体" w:eastAsia="宋体"/>
                <w:sz w:val="21"/>
              </w:rPr>
              <w:t>采购货物质量要求：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）所有货物质量必须严格按照国家标准规范及有关要求执行，因所投食品的质量问题而引起的食物中毒事件，供应商依法承担所有责任。</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）中标供应商必须讲诚信，所供货物不得以次充好，无过期商品、假冒伪劣产品、无以次充好现象。不得将过期变质、发霉、不新鲜的蔬菜等不合格品参杂其中；一经发现，取消其供货资格。</w:t>
            </w:r>
          </w:p>
          <w:p>
            <w:pPr>
              <w:pStyle w:val="null3"/>
              <w:jc w:val="both"/>
            </w:pPr>
            <w:r>
              <w:rPr>
                <w:rFonts w:ascii="宋体" w:hAnsi="宋体" w:cs="宋体" w:eastAsia="宋体"/>
                <w:sz w:val="21"/>
              </w:rPr>
              <w:t>二、商务要求</w:t>
            </w:r>
          </w:p>
          <w:p>
            <w:pPr>
              <w:pStyle w:val="null3"/>
              <w:jc w:val="both"/>
            </w:pPr>
            <w:r>
              <w:rPr>
                <w:rFonts w:ascii="宋体" w:hAnsi="宋体" w:cs="宋体" w:eastAsia="宋体"/>
                <w:sz w:val="21"/>
              </w:rPr>
              <w:t>（一）合同结算：</w:t>
            </w:r>
          </w:p>
          <w:p>
            <w:pPr>
              <w:pStyle w:val="null3"/>
              <w:jc w:val="both"/>
            </w:pPr>
            <w:r>
              <w:rPr>
                <w:rFonts w:ascii="宋体" w:hAnsi="宋体" w:cs="宋体" w:eastAsia="宋体"/>
                <w:sz w:val="21"/>
              </w:rPr>
              <w:t>1.付款方式：以配送学校每月实际用量据实结算，每月结算一次，如遇特殊情况顺延，因成交供应商手续不齐全或其它缘故，逾期未能结算的，将放置下一个结算日期结算。</w:t>
            </w:r>
          </w:p>
          <w:p>
            <w:pPr>
              <w:pStyle w:val="null3"/>
              <w:jc w:val="both"/>
            </w:pPr>
            <w:r>
              <w:rPr>
                <w:rFonts w:ascii="宋体" w:hAnsi="宋体" w:cs="宋体" w:eastAsia="宋体"/>
                <w:sz w:val="21"/>
              </w:rPr>
              <w:t>2.结算方式：银行转账。</w:t>
            </w:r>
          </w:p>
          <w:p>
            <w:pPr>
              <w:pStyle w:val="null3"/>
              <w:jc w:val="both"/>
            </w:pPr>
            <w:r>
              <w:rPr>
                <w:rFonts w:ascii="宋体" w:hAnsi="宋体" w:cs="宋体" w:eastAsia="宋体"/>
                <w:sz w:val="21"/>
              </w:rPr>
              <w:t>3.结算单位：由</w:t>
            </w:r>
            <w:r>
              <w:rPr>
                <w:rFonts w:ascii="宋体" w:hAnsi="宋体" w:cs="宋体" w:eastAsia="宋体"/>
                <w:sz w:val="21"/>
                <w:u w:val="single"/>
              </w:rPr>
              <w:t xml:space="preserve"> </w:t>
            </w:r>
            <w:r>
              <w:rPr>
                <w:rFonts w:ascii="宋体" w:hAnsi="宋体" w:cs="宋体" w:eastAsia="宋体"/>
                <w:sz w:val="21"/>
                <w:u w:val="single"/>
              </w:rPr>
              <w:t>采购人</w:t>
            </w:r>
            <w:r>
              <w:rPr>
                <w:rFonts w:ascii="宋体" w:hAnsi="宋体" w:cs="宋体" w:eastAsia="宋体"/>
                <w:sz w:val="21"/>
              </w:rPr>
              <w:t>负责结算，乙方开具等额发票交采购人。</w:t>
            </w:r>
          </w:p>
          <w:p>
            <w:pPr>
              <w:pStyle w:val="null3"/>
              <w:jc w:val="both"/>
            </w:pPr>
            <w:r>
              <w:rPr>
                <w:rFonts w:ascii="宋体" w:hAnsi="宋体" w:cs="宋体" w:eastAsia="宋体"/>
                <w:sz w:val="21"/>
              </w:rPr>
              <w:t>（二）服务内容</w:t>
            </w:r>
          </w:p>
          <w:p>
            <w:pPr>
              <w:pStyle w:val="null3"/>
              <w:jc w:val="both"/>
            </w:pPr>
            <w:r>
              <w:rPr>
                <w:rFonts w:ascii="宋体" w:hAnsi="宋体" w:cs="宋体" w:eastAsia="宋体"/>
                <w:sz w:val="21"/>
              </w:rPr>
              <w:t>1、</w:t>
            </w:r>
            <w:r>
              <w:rPr>
                <w:rFonts w:ascii="宋体" w:hAnsi="宋体" w:cs="宋体" w:eastAsia="宋体"/>
                <w:sz w:val="21"/>
              </w:rPr>
              <w:t>供货</w:t>
            </w:r>
            <w:r>
              <w:rPr>
                <w:rFonts w:ascii="宋体" w:hAnsi="宋体" w:cs="宋体" w:eastAsia="宋体"/>
                <w:sz w:val="21"/>
              </w:rPr>
              <w:t>地点：采购人指定地点。</w:t>
            </w:r>
          </w:p>
          <w:p>
            <w:pPr>
              <w:pStyle w:val="null3"/>
              <w:jc w:val="both"/>
            </w:pPr>
            <w:r>
              <w:rPr>
                <w:rFonts w:ascii="宋体" w:hAnsi="宋体" w:cs="宋体" w:eastAsia="宋体"/>
                <w:sz w:val="21"/>
              </w:rPr>
              <w:t>2、</w:t>
            </w:r>
            <w:r>
              <w:rPr>
                <w:rFonts w:ascii="宋体" w:hAnsi="宋体" w:cs="宋体" w:eastAsia="宋体"/>
                <w:sz w:val="21"/>
              </w:rPr>
              <w:t>供货</w:t>
            </w:r>
            <w:r>
              <w:rPr>
                <w:rFonts w:ascii="宋体" w:hAnsi="宋体" w:cs="宋体" w:eastAsia="宋体"/>
                <w:sz w:val="21"/>
              </w:rPr>
              <w:t>期：</w:t>
            </w:r>
            <w:r>
              <w:rPr>
                <w:rFonts w:ascii="宋体" w:hAnsi="宋体" w:cs="宋体" w:eastAsia="宋体"/>
                <w:sz w:val="21"/>
              </w:rPr>
              <w:t>合同签订之日起至</w:t>
            </w:r>
            <w:r>
              <w:rPr>
                <w:rFonts w:ascii="宋体" w:hAnsi="宋体" w:cs="宋体" w:eastAsia="宋体"/>
                <w:sz w:val="21"/>
              </w:rPr>
              <w:t>2025年8月31日</w:t>
            </w:r>
          </w:p>
          <w:p>
            <w:pPr>
              <w:pStyle w:val="null3"/>
              <w:jc w:val="both"/>
            </w:pPr>
            <w:r>
              <w:rPr>
                <w:rFonts w:ascii="宋体" w:hAnsi="宋体" w:cs="宋体" w:eastAsia="宋体"/>
                <w:sz w:val="21"/>
              </w:rPr>
              <w:t>3、供应数量：每天的配送数量以经采购人确认的数量为准，最终据实结算。</w:t>
            </w:r>
          </w:p>
          <w:p>
            <w:pPr>
              <w:pStyle w:val="null3"/>
              <w:jc w:val="both"/>
            </w:pPr>
            <w:r>
              <w:rPr>
                <w:rFonts w:ascii="宋体" w:hAnsi="宋体" w:cs="宋体" w:eastAsia="宋体"/>
                <w:sz w:val="21"/>
                <w:color w:val="FF0000"/>
              </w:rPr>
              <w:t>4、核心产品：生抽</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b/>
              </w:rPr>
              <w:t>注意事项：本项目报价为折扣报价，供应商的报价</w:t>
            </w:r>
            <w:r>
              <w:rPr>
                <w:rFonts w:ascii="calibri" w:hAnsi="calibri" w:cs="calibri" w:eastAsia="calibri"/>
                <w:sz w:val="21"/>
                <w:b/>
              </w:rPr>
              <w:t>%</w:t>
            </w:r>
            <w:r>
              <w:rPr>
                <w:rFonts w:ascii="宋体" w:hAnsi="宋体" w:cs="宋体" w:eastAsia="宋体"/>
                <w:sz w:val="21"/>
                <w:b/>
              </w:rPr>
              <w:t>最低的，即为评标基准价。例货物类采购供应商报价为</w:t>
            </w:r>
            <w:r>
              <w:rPr>
                <w:rFonts w:ascii="calibri" w:hAnsi="calibri" w:cs="calibri" w:eastAsia="calibri"/>
                <w:sz w:val="21"/>
                <w:b/>
              </w:rPr>
              <w:t>60%</w:t>
            </w:r>
            <w:r>
              <w:rPr>
                <w:rFonts w:ascii="宋体" w:hAnsi="宋体" w:cs="宋体" w:eastAsia="宋体"/>
                <w:sz w:val="21"/>
                <w:b/>
              </w:rPr>
              <w:t>，货物价</w:t>
            </w:r>
            <w:r>
              <w:rPr>
                <w:rFonts w:ascii="calibri" w:hAnsi="calibri" w:cs="calibri" w:eastAsia="calibri"/>
                <w:sz w:val="21"/>
                <w:b/>
              </w:rPr>
              <w:t xml:space="preserve">=60% * </w:t>
            </w:r>
            <w:r>
              <w:rPr>
                <w:rFonts w:ascii="宋体" w:hAnsi="宋体" w:cs="宋体" w:eastAsia="宋体"/>
                <w:sz w:val="21"/>
                <w:b/>
              </w:rPr>
              <w:t>平均零售价</w:t>
            </w:r>
            <w:r>
              <w:rPr>
                <w:rFonts w:ascii="calibri" w:hAnsi="calibri" w:cs="calibri" w:eastAsia="calibri"/>
                <w:sz w:val="21"/>
                <w:b/>
              </w:rPr>
              <w:t>(</w:t>
            </w:r>
            <w:r>
              <w:rPr>
                <w:rFonts w:ascii="宋体" w:hAnsi="宋体" w:cs="宋体" w:eastAsia="宋体"/>
                <w:sz w:val="21"/>
                <w:b/>
              </w:rPr>
              <w:t>单位为</w:t>
            </w:r>
            <w:r>
              <w:rPr>
                <w:rFonts w:ascii="calibri" w:hAnsi="calibri" w:cs="calibri" w:eastAsia="calibri"/>
                <w:sz w:val="21"/>
                <w:b/>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供货期：合同签订之日起至2025年8月31日。</w:t>
      </w:r>
    </w:p>
    <w:p>
      <w:pPr>
        <w:pStyle w:val="null3"/>
        <w:outlineLvl w:val="3"/>
      </w:pPr>
      <w:r>
        <w:rPr>
          <w:sz w:val="24"/>
          <w:b/>
        </w:rPr>
        <w:t>3.4.2交货地点</w:t>
      </w:r>
    </w:p>
    <w:p>
      <w:pPr>
        <w:pStyle w:val="null3"/>
      </w:pPr>
      <w:r>
        <w:rPr/>
        <w:t>采购包1：</w:t>
      </w:r>
    </w:p>
    <w:p>
      <w:pPr>
        <w:pStyle w:val="null3"/>
      </w:pPr>
      <w:r>
        <w:rPr/>
        <w:t>太乙宫中心学校、太乙宫新关小学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合同签订后，以配送学校每月实际用量据实结算，每月结算一次</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根据招标文件、投标文件以及合同约定执行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根据招标文件、投标文件以及合同约定执行</w:t>
      </w:r>
    </w:p>
    <w:p>
      <w:pPr>
        <w:pStyle w:val="null3"/>
        <w:outlineLvl w:val="3"/>
      </w:pPr>
      <w:r>
        <w:rPr>
          <w:sz w:val="24"/>
          <w:b/>
        </w:rPr>
        <w:t>3.4.8违约责任与解决争议的方法</w:t>
      </w:r>
    </w:p>
    <w:p>
      <w:pPr>
        <w:pStyle w:val="null3"/>
      </w:pPr>
      <w:r>
        <w:rPr/>
        <w:t>采购包1：</w:t>
      </w:r>
    </w:p>
    <w:p>
      <w:pPr>
        <w:pStyle w:val="null3"/>
      </w:pPr>
      <w:r>
        <w:rPr/>
        <w:t>根据招标文件、投标文件以及合同约定执行</w:t>
      </w:r>
    </w:p>
    <w:p>
      <w:pPr>
        <w:pStyle w:val="null3"/>
        <w:jc w:val="left"/>
        <w:outlineLvl w:val="2"/>
      </w:pPr>
      <w:r>
        <w:rPr>
          <w:sz w:val="28"/>
          <w:b/>
        </w:rPr>
        <w:t>3.5其他要求</w:t>
      </w:r>
    </w:p>
    <w:p>
      <w:pPr>
        <w:pStyle w:val="null3"/>
      </w:pPr>
      <w:r>
        <w:rPr/>
        <w:t>1.西安市政府采购信用担保及信用融资政策 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 标保证金、履约保证金时可自愿选择通过担保函的形式交纳，供应商违约，开具担保函单位承担连带责任。 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 《实施方案》链接地址： http://xaczj.xa.gov.cn/zfcg/cgfg/5db90552fd850863a9e4594d.html 《合作机构名单》链接地址： http://xaczj.xa.gov.cn/zfcg/cgfg/5db9054565cbd804f69e97e0.html 2.陕西省中小企业政府采购信用融资办法 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 链接地址：http://www.ccgp-shaanxi.gov.cn/zcdservice/zcd/shanxi/article/zcdt/1390497710741917696</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具有履行合同所必须的设备和专业技术能力的说明及承诺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投标人应授权合法的人员参加投标，其中法定代表人直接参加的，须出具法定代表人证明书；被授权代表参加的，须出具法定代表人授权书；</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投标人为生产厂家的须提供《食品生产许可证》；投标人为代理商的须提供《食品经营许可证》；</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 工程或服务要求。</w:t>
            </w:r>
          </w:p>
        </w:tc>
        <w:tc>
          <w:tcPr>
            <w:tcW w:type="dxa" w:w="1661"/>
          </w:tcPr>
          <w:p>
            <w:pPr>
              <w:pStyle w:val="null3"/>
            </w:pPr>
            <w:r>
              <w:rPr/>
              <w:t>产品技术参数表</w:t>
            </w:r>
          </w:p>
        </w:tc>
      </w:tr>
      <w:tr>
        <w:tc>
          <w:tcPr>
            <w:tcW w:type="dxa" w:w="831"/>
          </w:tcPr>
          <w:p>
            <w:pPr>
              <w:pStyle w:val="null3"/>
            </w:pPr>
            <w:r>
              <w:rPr/>
              <w:t>5</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配送及保障措施</w:t>
            </w:r>
          </w:p>
        </w:tc>
        <w:tc>
          <w:tcPr>
            <w:tcW w:type="dxa" w:w="2492"/>
          </w:tcPr>
          <w:p>
            <w:pPr>
              <w:pStyle w:val="null3"/>
            </w:pPr>
            <w:r>
              <w:rPr/>
              <w:t>有符合食品安全运输标准的运输专用车辆等相关配送设备，企业有专用车辆并提供证明文件计3分，未提供不得分。 备注：企业自有的运输配送车辆需提供车辆行驶证；租赁车辆需提供车辆租赁合同等相关证明文件。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配送方案</w:t>
            </w:r>
          </w:p>
        </w:tc>
        <w:tc>
          <w:tcPr>
            <w:tcW w:type="dxa" w:w="2492"/>
          </w:tcPr>
          <w:p>
            <w:pPr>
              <w:pStyle w:val="null3"/>
            </w:pPr>
            <w:r>
              <w:rPr/>
              <w:t>对供应商响应文件中配送方案进行评分（包含供应商对本项目的①整体配送计划方案、②详细的专职配送队伍安排、③流程控制、④质量管理、⑤食材数量及总类管理、⑥采购计划单及送货时间管理、⑦安全管理、⑧验货标准等）。 各部分内容全面详细、阐述条例清晰详尽、符合本项目采购需求，得15分，评审内容每缺一项扣1.5分；评审内容有缺陷未完全响应评审标准的扣0.5-1分。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质量控制方案</w:t>
            </w:r>
          </w:p>
        </w:tc>
        <w:tc>
          <w:tcPr>
            <w:tcW w:type="dxa" w:w="2492"/>
          </w:tcPr>
          <w:p>
            <w:pPr>
              <w:pStyle w:val="null3"/>
            </w:pPr>
            <w:r>
              <w:rPr/>
              <w:t>对投标人响应文件中的质量控制方案进行评分（包含：①原材料的来源、选定、②选材标准、③加工包装、④运输途中、送达采购人指定地后的质量控制方案）。 各部分内容全面详细、阐述条例清晰详尽、符合本项目采购需求，得10分，评审内容每缺一项扣2.5分；评审内容有缺陷未完全响应评审标准的扣0.5-1分。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供货渠道</w:t>
            </w:r>
          </w:p>
        </w:tc>
        <w:tc>
          <w:tcPr>
            <w:tcW w:type="dxa" w:w="2492"/>
          </w:tcPr>
          <w:p>
            <w:pPr>
              <w:pStyle w:val="null3"/>
            </w:pPr>
            <w:r>
              <w:rPr/>
              <w:t>投标人提供货源渠道书面证明材料，保证所供产品来源渠道正规，产品质量符合国家标准。对货源的采购控制管理规范。 资料齐全计6分； 资料基本齐全计4分； 资料不全不能证明所有产品的合理来源及符合国家标准计1分；不提供不计分。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企业实力</w:t>
            </w:r>
          </w:p>
        </w:tc>
        <w:tc>
          <w:tcPr>
            <w:tcW w:type="dxa" w:w="2492"/>
          </w:tcPr>
          <w:p>
            <w:pPr>
              <w:pStyle w:val="null3"/>
            </w:pPr>
            <w:r>
              <w:rPr/>
              <w:t>供应商具有储存场地及冷库场地，场地符合相应的技术标准和环保、安全要求并提供场地的图片及租赁合同或场地购置合同。场地规范化、条件良好、卫生整洁，且有场地证明资料的计5分；场地基本规范、标准，卫生较整洁，证明材料不够齐全的计3分；场地不规范、现场卫生差，所附资料不齐全或无证明材料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到货时间及退换货要求</w:t>
            </w:r>
          </w:p>
        </w:tc>
        <w:tc>
          <w:tcPr>
            <w:tcW w:type="dxa" w:w="2492"/>
          </w:tcPr>
          <w:p>
            <w:pPr>
              <w:pStyle w:val="null3"/>
            </w:pPr>
            <w:r>
              <w:rPr/>
              <w:t>1、供应商承诺到货时间满足要求的得3分，不满足的得0分。 2、供应商承诺无偿包退包换的得3分，有偿退换得0分。 3、供应商承诺4小时内完成退换的得2分，8小时内退换的得1分，超过8小时的得0分。 根据供应商提供承诺书内容得相应分值。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安全保障措施</w:t>
            </w:r>
          </w:p>
        </w:tc>
        <w:tc>
          <w:tcPr>
            <w:tcW w:type="dxa" w:w="2492"/>
          </w:tcPr>
          <w:p>
            <w:pPr>
              <w:pStyle w:val="null3"/>
            </w:pPr>
            <w:r>
              <w:rPr/>
              <w:t>针对本项目提供服务期间的安全保障措施、安全责任划分标准及配送或使用过程出现问题的安全事故的应对措施。责任划分标准，措施完善、合理计6 分；责任划分模糊，措施基本合理计3 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应急预案</w:t>
            </w:r>
          </w:p>
        </w:tc>
        <w:tc>
          <w:tcPr>
            <w:tcW w:type="dxa" w:w="2492"/>
          </w:tcPr>
          <w:p>
            <w:pPr>
              <w:pStyle w:val="null3"/>
            </w:pPr>
            <w:r>
              <w:rPr/>
              <w:t>投标人针对本项目提供具体可行的应急方案，包括但不限于市场供求变化、天气、车辆故障等突发事件及配送或使用过程出现问题的补救措施、重大节假日或活动等特殊情况制定的应急处理方案等。方案涵盖全面，针对性强，充分考虑到突发事件的处理方式和能力的计5分； 方案涵盖不够完整有漏项，针对性一般，突发事件的处理能力和方式不够详细计 4 分； 方案不完整，措施简单，无具体针对性计2分；不提供不计分。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服务承诺1</w:t>
            </w:r>
          </w:p>
        </w:tc>
        <w:tc>
          <w:tcPr>
            <w:tcW w:type="dxa" w:w="2492"/>
          </w:tcPr>
          <w:p>
            <w:pPr>
              <w:pStyle w:val="null3"/>
            </w:pPr>
            <w:r>
              <w:rPr/>
              <w:t>投标人承诺所供蔬菜鸡蛋肉等在保质期内，无过期变质产品。对于发现不合格食品具有详细的处理方案及惩罚方法，提供承诺书及处理方案和办法。 各部分内容全面详细、阐述条例清晰详尽、符合本项目采购需求，得4分，评审内容每缺一项扣2分；评审内容有缺陷未完全响应评审标准的扣0.5-1分。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服务承诺2</w:t>
            </w:r>
          </w:p>
        </w:tc>
        <w:tc>
          <w:tcPr>
            <w:tcW w:type="dxa" w:w="2492"/>
          </w:tcPr>
          <w:p>
            <w:pPr>
              <w:pStyle w:val="null3"/>
            </w:pPr>
            <w:r>
              <w:rPr/>
              <w:t>投标人须提供五年内无重大食品安全、人员安全事故声明，计 2分。不提供不计分。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提供投标人自2020年7月1日至今类似项目业绩，每提供1份计1分，满分6分，未提供不计分。（以合同签订时间为准，复印件加盖公章,原件备查）。</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价格分统一采用低价优先法计算，即满足招标文件要求且折扣报价最低的投标报价为评标基准价，其价格分为满分。其他投标人的价格分统一按照下列公式计算： 投标报价得分=(评标基准价／投标报价)×价格权值×100 计算分数时四舍五入 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详见附件：供应商企业关系关联承诺书</w:t>
      </w:r>
    </w:p>
    <w:p>
      <w:pPr>
        <w:pStyle w:val="null3"/>
        <w:ind w:firstLine="960"/>
      </w:pPr>
      <w:r>
        <w:rPr/>
        <w:t>详见附件：具有履行合同所必须的设备和专业技术能力的说明及承诺</w:t>
      </w:r>
    </w:p>
    <w:p>
      <w:pPr>
        <w:pStyle w:val="null3"/>
        <w:ind w:firstLine="960"/>
      </w:pPr>
      <w:r>
        <w:rPr/>
        <w:t>详见附件：投标方案说明</w:t>
      </w:r>
    </w:p>
    <w:p>
      <w:pPr>
        <w:pStyle w:val="null3"/>
        <w:ind w:firstLine="960"/>
      </w:pPr>
      <w:r>
        <w:rPr/>
        <w:t>详见附件：业绩</w:t>
      </w:r>
    </w:p>
    <w:p>
      <w:pPr>
        <w:pStyle w:val="null3"/>
        <w:ind w:firstLine="960"/>
      </w:pPr>
      <w:r>
        <w:rPr/>
        <w:t>详见附件：法定代表人证明书与法定代表人授权书</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