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版本号：241116001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西安市长安区公务用车信息化监管服务平台运维项目</w:t>
      </w:r>
    </w:p>
    <w:p>
      <w:pPr>
        <w:pStyle w:val="null3"/>
        <w:jc w:val="center"/>
        <w:outlineLvl w:val="5"/>
      </w:pPr>
      <w:r>
        <w:rPr>
          <w:sz w:val="15"/>
          <w:b/>
        </w:rPr>
        <w:t xml:space="preserve">采购项目编号: </w:t>
      </w:r>
      <w:r>
        <w:rPr>
          <w:sz w:val="15"/>
          <w:b/>
        </w:rPr>
        <w:t>ZTZB-24-01042</w:t>
      </w:r>
      <w:r>
        <w:br/>
      </w:r>
      <w:r>
        <w:br/>
      </w:r>
      <w:r>
        <w:br/>
      </w:r>
    </w:p>
    <w:p>
      <w:pPr>
        <w:pStyle w:val="null3"/>
        <w:jc w:val="center"/>
        <w:outlineLvl w:val="5"/>
      </w:pPr>
      <w:r>
        <w:rPr>
          <w:sz w:val="15"/>
          <w:b/>
        </w:rPr>
        <w:t>西安市长安区机关事务服务中心</w:t>
      </w:r>
    </w:p>
    <w:p>
      <w:pPr>
        <w:pStyle w:val="null3"/>
        <w:jc w:val="center"/>
        <w:outlineLvl w:val="5"/>
      </w:pPr>
      <w:r>
        <w:rPr>
          <w:sz w:val="15"/>
          <w:b/>
        </w:rPr>
        <w:t>陕西中腾华盛项目管理有限公司</w:t>
      </w:r>
      <w:r>
        <w:rPr>
          <w:sz w:val="15"/>
          <w:b/>
        </w:rPr>
        <w:t>共同编制</w:t>
      </w:r>
    </w:p>
    <w:p>
      <w:pPr>
        <w:pStyle w:val="null3"/>
        <w:jc w:val="center"/>
        <w:outlineLvl w:val="5"/>
      </w:pPr>
      <w:r>
        <w:rPr>
          <w:sz w:val="15"/>
          <w:b/>
        </w:rPr>
        <w:t>2024年11月16日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陕西中腾华盛项目管理有限公司</w:t>
      </w:r>
      <w:r>
        <w:rPr/>
        <w:t>（以下简称“代理机构”）受</w:t>
      </w:r>
      <w:r>
        <w:rPr/>
        <w:t>西安市长安区机关事务服务中心</w:t>
      </w:r>
      <w:r>
        <w:rPr/>
        <w:t>委托，拟对</w:t>
      </w:r>
      <w:r>
        <w:rPr/>
        <w:t>西安市长安区公务用车信息化监管服务平台运维项目</w:t>
      </w:r>
      <w:r>
        <w:rPr/>
        <w:t>采用单一来源方式进行采购，现邀请贵公司参加该项目的协商。</w:t>
      </w:r>
    </w:p>
    <w:p>
      <w:pPr>
        <w:pStyle w:val="null3"/>
        <w:outlineLvl w:val="2"/>
      </w:pPr>
      <w:r>
        <w:rPr>
          <w:sz w:val="28"/>
          <w:b/>
        </w:rPr>
        <w:t xml:space="preserve"> 一、采购项目编号：</w:t>
      </w:r>
      <w:r>
        <w:rPr>
          <w:sz w:val="28"/>
          <w:b/>
        </w:rPr>
        <w:t>ZTZB-24-01042</w:t>
      </w:r>
    </w:p>
    <w:p>
      <w:pPr>
        <w:pStyle w:val="null3"/>
        <w:outlineLvl w:val="2"/>
      </w:pPr>
      <w:r>
        <w:rPr>
          <w:sz w:val="28"/>
          <w:b/>
        </w:rPr>
        <w:t xml:space="preserve"> 二、采购项目名称：</w:t>
      </w:r>
      <w:r>
        <w:rPr>
          <w:sz w:val="28"/>
          <w:b/>
        </w:rPr>
        <w:t>西安市长安区公务用车信息化监管服务平台运维项目</w:t>
      </w:r>
    </w:p>
    <w:p>
      <w:pPr>
        <w:pStyle w:val="null3"/>
        <w:outlineLvl w:val="2"/>
      </w:pPr>
      <w:r>
        <w:rPr>
          <w:sz w:val="28"/>
          <w:b/>
        </w:rPr>
        <w:t>三、协商项目简介：</w:t>
      </w:r>
    </w:p>
    <w:p>
      <w:pPr>
        <w:pStyle w:val="null3"/>
        <w:ind w:firstLine="480"/>
      </w:pPr>
      <w:r>
        <w:rPr/>
        <w:t>西安市长安区公务用车信息化监管服务平台运维项目，1项， 采购预算：761840.00元， 项目概况：为落实中改办指示，保障全区各部门正常的公务出行，政府单位公务车需实行集中统一管理，实现“管理平台化、平台信息化、车辆标识化”，建立统一管理模式，做到“便捷派车、高效用车、透明管车、有效督车”。在此背景下，长安区公务用车信息化监管服务平台项目按照中省车改办文件精神，将车改后保留车辆纳入统一平台管理，通过升级改造公务用车信息管理平台，以满足公务用车信息化平台自身管理的要求和“全市一张网”的需求，同时又保证满足与陕西省现有系统软件平台的无缝对接和硬件设备的融合，数据互联互通，以达到省市级文件“全省一张网”、“全市一张网”建设精神要求。对574辆车平台运行维护服务。具体内容详见单一来源采购文件。简要技术要求、用途： 自用。 服务期限:自合同签订之日起壹年，本项目采取一次招标叁年延用、实行壹年一考核、一签合同的办法(壹年合同期满后，无重大失误且能够满足服务需求，按照“《政府购买服务管理办法》（财政部令第 102 号）第二十四条：政府购买服务合同履行期限一般不超过 1 年；在预算保障的前提下，对于购买内容相对固定、连续性强、经费来源稳定、价格变化幅度小的政府购买服务项目，可以签订履行期限不超过 3 年的政府购买服务合同”的规定，合同可续签贰年，每年期满后，采购人根据当年运维报告和结算清单据实结算运维费用，与中标人续签下壹年合同，但中标单价不予调整)。</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采购包1（西安市长安区公务用车信息化监管服务平台运维项目）：属于专门面向中小企业采购。</w:t>
      </w:r>
    </w:p>
    <w:p>
      <w:pPr>
        <w:pStyle w:val="null3"/>
        <w:ind w:firstLine="480"/>
      </w:pPr>
      <w:r>
        <w:rPr/>
        <w:t>（三）本项目的特定资格要求：</w:t>
      </w:r>
    </w:p>
    <w:p>
      <w:pPr>
        <w:pStyle w:val="null3"/>
      </w:pPr>
      <w:r>
        <w:rPr/>
        <w:t>采购包1：</w:t>
      </w:r>
    </w:p>
    <w:p>
      <w:pPr>
        <w:pStyle w:val="null3"/>
      </w:pPr>
      <w:r>
        <w:rPr/>
        <w:t>1、（1）供应商具有独立承担民事责任能力的法人、其他组织或自然人，并出具合法有效的营业执照或事业单位法人证书等国家规定的相关证明，自然人参与的提供其身份证明； （2）提供具有履行合同所必需的设备和专业技术能力的承诺函； （3）供应商应授权合法的人员参加谈判全过程，其中法定代表人/负责人直接谈判，须提交法定代表人/负责人身份证明书和身份证。法定代表人/负责人授权代表参加谈判的，须出具法定代表人/负责人授权书及授权代表身份证； （4）本项目为专门面向中小企业采购，供应商应提供中小企业声明函。：追条响应</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西安市长安区机关事务服务中心</w:t>
      </w:r>
    </w:p>
    <w:p>
      <w:pPr>
        <w:pStyle w:val="null3"/>
      </w:pPr>
      <w:r>
        <w:rPr/>
        <w:t xml:space="preserve"> 地址： </w:t>
      </w:r>
      <w:r>
        <w:rPr/>
        <w:t>西安市长安区长安街669号</w:t>
      </w:r>
    </w:p>
    <w:p>
      <w:pPr>
        <w:pStyle w:val="null3"/>
      </w:pPr>
      <w:r>
        <w:rPr/>
        <w:t xml:space="preserve"> 邮编： </w:t>
      </w:r>
      <w:r>
        <w:rPr/>
        <w:t>/</w:t>
      </w:r>
    </w:p>
    <w:p>
      <w:pPr>
        <w:pStyle w:val="null3"/>
      </w:pPr>
      <w:r>
        <w:rPr/>
        <w:t xml:space="preserve"> 联系人： </w:t>
      </w:r>
      <w:r>
        <w:rPr/>
        <w:t>西安市长安区机关事务服务中心经办</w:t>
      </w:r>
    </w:p>
    <w:p>
      <w:pPr>
        <w:pStyle w:val="null3"/>
      </w:pPr>
      <w:r>
        <w:rPr/>
        <w:t xml:space="preserve"> 联系电话： </w:t>
      </w:r>
      <w:r>
        <w:rPr/>
        <w:t>029-89258066</w:t>
      </w:r>
    </w:p>
    <w:p>
      <w:pPr>
        <w:pStyle w:val="null3"/>
        <w:outlineLvl w:val="2"/>
      </w:pPr>
      <w:r>
        <w:rPr>
          <w:sz w:val="28"/>
          <w:b/>
        </w:rPr>
        <w:t xml:space="preserve"> 代理机构：</w:t>
      </w:r>
      <w:r>
        <w:rPr>
          <w:sz w:val="28"/>
          <w:b/>
        </w:rPr>
        <w:t>陕西中腾华盛项目管理有限公司</w:t>
      </w:r>
    </w:p>
    <w:p>
      <w:pPr>
        <w:pStyle w:val="null3"/>
      </w:pPr>
      <w:r>
        <w:rPr/>
        <w:t xml:space="preserve"> 地址： </w:t>
      </w:r>
      <w:r>
        <w:rPr/>
        <w:t>陕西省西安市南二环西段180号财富中心二期D座2203室</w:t>
      </w:r>
    </w:p>
    <w:p>
      <w:pPr>
        <w:pStyle w:val="null3"/>
      </w:pPr>
      <w:r>
        <w:rPr/>
        <w:t xml:space="preserve"> 邮编： </w:t>
      </w:r>
      <w:r>
        <w:rPr/>
        <w:t>/</w:t>
      </w:r>
    </w:p>
    <w:p>
      <w:pPr>
        <w:pStyle w:val="null3"/>
      </w:pPr>
      <w:r>
        <w:rPr/>
        <w:t xml:space="preserve"> 联系人： </w:t>
      </w:r>
      <w:r>
        <w:rPr/>
        <w:t>柏工 汪工</w:t>
      </w:r>
    </w:p>
    <w:p>
      <w:pPr>
        <w:pStyle w:val="null3"/>
      </w:pPr>
      <w:r>
        <w:rPr/>
        <w:t xml:space="preserve"> 联系电话： </w:t>
      </w:r>
      <w:r>
        <w:rPr/>
        <w:t>029-81777703</w:t>
      </w:r>
    </w:p>
    <w:p>
      <w:pPr>
        <w:pStyle w:val="null3"/>
        <w:outlineLvl w:val="2"/>
      </w:pPr>
      <w:r>
        <w:rPr>
          <w:sz w:val="28"/>
          <w:b/>
        </w:rPr>
        <w:t xml:space="preserve"> 采购监督机构：</w:t>
      </w:r>
      <w:r>
        <w:rPr>
          <w:sz w:val="28"/>
          <w:b/>
        </w:rPr>
        <w:t>西安市长安区政府采购管理股</w:t>
      </w:r>
    </w:p>
    <w:p>
      <w:pPr>
        <w:pStyle w:val="null3"/>
        <w:ind w:firstLine="480"/>
      </w:pPr>
      <w:r>
        <w:rPr/>
        <w:t>联系人：</w:t>
      </w:r>
      <w:r>
        <w:rPr/>
        <w:t>左崇伟</w:t>
      </w:r>
    </w:p>
    <w:p>
      <w:pPr>
        <w:pStyle w:val="null3"/>
        <w:ind w:firstLine="480"/>
      </w:pPr>
      <w:r>
        <w:rPr/>
        <w:t>联系电话：</w:t>
      </w:r>
      <w:r>
        <w:rPr/>
        <w:t>85645891</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采购包1：761,840.00元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采购包1：761,840.00元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代理服务费收费标准：《招标代理服务收费管理暂行办法》（计价格[2002]1980号）和《关于招标代理服务收费有关问题的通知》（发改办价格[2003] 857号）的有关规定标准，中标（成交）供应商向采购代理机构一次付清代理服务费。具体收费金额在中标（成交）公告中公布。 收款信息： 公司名称：陕西中腾华盛项目管理有限公司 开户行：中国民生银行股份有限公司西安科技路支行 账 号：633849254 (请从公司公户转出，付款时备注项目编号+代理服务费)</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西安市长安区机关事务服务中心</w:t>
      </w:r>
      <w:r>
        <w:rPr/>
        <w:t>和</w:t>
      </w:r>
      <w:r>
        <w:rPr/>
        <w:t>陕西中腾华盛项目管理有限公司</w:t>
      </w:r>
      <w:r>
        <w:rPr/>
        <w:t>享有。对采购文件中供应商参加本次政府采购活动应当具备的条件、项目技术、服务、商务及其他要求，评审标准由采购人负责解释。除前述采购文件内容，其他内容由</w:t>
      </w:r>
      <w:r>
        <w:rPr/>
        <w:t>陕西中腾华盛项目管理有限公司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西安市长安区机关事务服务中心</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陕西中腾华盛项目管理有限公司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按照甲方要求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陕西中腾华盛项目管理有限公司</w:t>
      </w:r>
      <w:r>
        <w:rPr/>
        <w:t xml:space="preserve"> 负责答复；供应商对除采购需求外的采购文件的询问、质疑由</w:t>
      </w:r>
      <w:r>
        <w:rPr/>
        <w:t>陕西中腾华盛项目管理有限公司</w:t>
      </w:r>
      <w:r>
        <w:rPr/>
        <w:t xml:space="preserve"> 负责答复；供应商对采购过程、采购结果的询问、质疑由 </w:t>
      </w:r>
      <w:r>
        <w:rPr/>
        <w:t>陕西中腾华盛项目管理有限公司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西安市长安区公务用车信息化监管服务平台运维项目，1项， 采购预算：761840.00元， 项目概况：为落实中改办指示，保障全区各部门正常的公务出行，政府单位公务车需实行集中统一管理，实现“管理平台化、平台信息化、车辆标识化”，建立统一管理模式，做到“便捷派车、高效用车、透明管车、有效督车”。在此背景下，长安区公务用车信息化监管服务平台项目按照中省车改办文件精神，将车改后保留车辆纳入统一平台管理，通过升级改造公务用车信息管理平台，以满足公务用车信息化平台自身管理的要求和“全市一张网”的需求，同时又保证满足与陕西省现有系统软件平台的无缝对接和硬件设备的融合，数据互联互通，以达到省市级文件“全省一张网”、“全市一张网”建设精神要求。对574辆车平台运行维护服务。具体内容详见单一来源采购文件。简要技术要求、用途： 自用。</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761,840.00</w:t>
      </w:r>
    </w:p>
    <w:p>
      <w:pPr>
        <w:pStyle w:val="null3"/>
      </w:pPr>
      <w:r>
        <w:rPr/>
        <w:t>采购包最高限价（元）: 761,840.00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西安市长安区公务用车信息化监管服务平台运维项目</w:t>
            </w:r>
          </w:p>
        </w:tc>
        <w:tc>
          <w:tcPr>
            <w:tcW w:type="dxa" w:w="831"/>
          </w:tcPr>
          <w:p>
            <w:pPr>
              <w:pStyle w:val="null3"/>
              <w:jc w:val="right"/>
            </w:pPr>
            <w:r>
              <w:rPr/>
              <w:t>1.00</w:t>
            </w:r>
          </w:p>
        </w:tc>
        <w:tc>
          <w:tcPr>
            <w:tcW w:type="dxa" w:w="831"/>
          </w:tcPr>
          <w:p>
            <w:pPr>
              <w:pStyle w:val="null3"/>
              <w:jc w:val="right"/>
            </w:pPr>
            <w:r>
              <w:rPr/>
              <w:t>761,840.00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标的名称：西安市长安区公务用车信息化监管服务平台运维项目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left="480"/>
            </w:pPr>
            <w:r>
              <w:rPr>
                <w:rFonts w:ascii="宋体" w:hAnsi="宋体" w:cs="宋体" w:eastAsia="宋体"/>
                <w:sz w:val="24"/>
              </w:rPr>
              <w:t>项目名称：西安市长安区公务用车信息化监管服务平台运维项目</w:t>
            </w:r>
          </w:p>
          <w:p>
            <w:pPr>
              <w:pStyle w:val="null3"/>
              <w:ind w:left="480"/>
            </w:pPr>
            <w:r>
              <w:rPr>
                <w:rFonts w:ascii="宋体" w:hAnsi="宋体" w:cs="宋体" w:eastAsia="宋体"/>
                <w:sz w:val="24"/>
              </w:rPr>
              <w:t>项目内容：对</w:t>
            </w:r>
            <w:r>
              <w:rPr>
                <w:rFonts w:ascii="times new roman, times, serif" w:hAnsi="times new roman, times, serif" w:cs="times new roman, times, serif" w:eastAsia="times new roman, times, serif"/>
                <w:sz w:val="24"/>
              </w:rPr>
              <w:t>574</w:t>
            </w:r>
            <w:r>
              <w:rPr>
                <w:rFonts w:ascii="宋体" w:hAnsi="宋体" w:cs="宋体" w:eastAsia="宋体"/>
                <w:sz w:val="24"/>
              </w:rPr>
              <w:t>辆车平台运行维护服务。</w:t>
            </w:r>
          </w:p>
          <w:p>
            <w:pPr>
              <w:pStyle w:val="null3"/>
              <w:ind w:firstLine="480"/>
              <w:jc w:val="both"/>
            </w:pPr>
            <w:r>
              <w:rPr>
                <w:rFonts w:ascii="宋体" w:hAnsi="宋体" w:cs="宋体" w:eastAsia="宋体"/>
                <w:sz w:val="24"/>
                <w:color w:val="0000FF"/>
              </w:rPr>
              <w:t>服务期限：</w:t>
            </w:r>
            <w:r>
              <w:rPr>
                <w:rFonts w:ascii="宋体" w:hAnsi="宋体" w:cs="宋体" w:eastAsia="宋体"/>
                <w:sz w:val="24"/>
                <w:color w:val="0000FF"/>
              </w:rPr>
              <w:t>自合同签订之日起壹年，本项目采取一次招标叁年延用、实行壹年一考核、一签合同的办法</w:t>
            </w:r>
            <w:r>
              <w:rPr>
                <w:rFonts w:ascii="&quot;times new roman&quot;" w:hAnsi="&quot;times new roman&quot;" w:cs="&quot;times new roman&quot;" w:eastAsia="&quot;times new roman&quot;"/>
                <w:sz w:val="24"/>
                <w:color w:val="0000FF"/>
              </w:rPr>
              <w:t>(</w:t>
            </w:r>
            <w:r>
              <w:rPr>
                <w:rFonts w:ascii="宋体" w:hAnsi="宋体" w:cs="宋体" w:eastAsia="宋体"/>
                <w:sz w:val="24"/>
                <w:color w:val="0000FF"/>
              </w:rPr>
              <w:t>壹年合同期满后，无重大失误且能够满足服务需求，</w:t>
            </w:r>
            <w:r>
              <w:rPr>
                <w:rFonts w:ascii="宋体" w:hAnsi="宋体" w:cs="宋体" w:eastAsia="宋体"/>
                <w:sz w:val="24"/>
                <w:color w:val="0000FF"/>
              </w:rPr>
              <w:t>按照</w:t>
            </w:r>
            <w:r>
              <w:rPr>
                <w:rFonts w:ascii="宋体" w:hAnsi="宋体" w:cs="宋体" w:eastAsia="宋体"/>
                <w:sz w:val="24"/>
                <w:color w:val="0000FF"/>
              </w:rPr>
              <w:t>“《</w:t>
            </w:r>
            <w:r>
              <w:rPr>
                <w:rFonts w:ascii="宋体" w:hAnsi="宋体" w:cs="宋体" w:eastAsia="宋体"/>
                <w:sz w:val="24"/>
                <w:color w:val="0000FF"/>
              </w:rPr>
              <w:t>政府购买服务管理办法</w:t>
            </w:r>
            <w:r>
              <w:rPr>
                <w:rFonts w:ascii="宋体" w:hAnsi="宋体" w:cs="宋体" w:eastAsia="宋体"/>
                <w:sz w:val="24"/>
                <w:color w:val="0000FF"/>
              </w:rPr>
              <w:t>》（</w:t>
            </w:r>
            <w:r>
              <w:rPr>
                <w:rFonts w:ascii="宋体" w:hAnsi="宋体" w:cs="宋体" w:eastAsia="宋体"/>
                <w:sz w:val="24"/>
                <w:color w:val="0000FF"/>
              </w:rPr>
              <w:t>财政部令第</w:t>
            </w:r>
            <w:r>
              <w:rPr>
                <w:rFonts w:ascii="&quot;times new roman&quot;" w:hAnsi="&quot;times new roman&quot;" w:cs="&quot;times new roman&quot;" w:eastAsia="&quot;times new roman&quot;"/>
                <w:sz w:val="24"/>
                <w:color w:val="0000FF"/>
              </w:rPr>
              <w:t xml:space="preserve"> 102 </w:t>
            </w:r>
            <w:r>
              <w:rPr>
                <w:rFonts w:ascii="宋体" w:hAnsi="宋体" w:cs="宋体" w:eastAsia="宋体"/>
                <w:sz w:val="24"/>
                <w:color w:val="0000FF"/>
              </w:rPr>
              <w:t>号</w:t>
            </w:r>
            <w:r>
              <w:rPr>
                <w:rFonts w:ascii="宋体" w:hAnsi="宋体" w:cs="宋体" w:eastAsia="宋体"/>
                <w:sz w:val="24"/>
                <w:color w:val="0000FF"/>
              </w:rPr>
              <w:t>）</w:t>
            </w:r>
            <w:r>
              <w:rPr>
                <w:rFonts w:ascii="宋体" w:hAnsi="宋体" w:cs="宋体" w:eastAsia="宋体"/>
                <w:sz w:val="24"/>
                <w:color w:val="0000FF"/>
              </w:rPr>
              <w:t>第二十四条</w:t>
            </w:r>
            <w:r>
              <w:rPr>
                <w:rFonts w:ascii="宋体" w:hAnsi="宋体" w:cs="宋体" w:eastAsia="宋体"/>
                <w:sz w:val="24"/>
                <w:color w:val="0000FF"/>
              </w:rPr>
              <w:t>：</w:t>
            </w:r>
            <w:r>
              <w:rPr>
                <w:rFonts w:ascii="宋体" w:hAnsi="宋体" w:cs="宋体" w:eastAsia="宋体"/>
                <w:sz w:val="24"/>
                <w:color w:val="0000FF"/>
              </w:rPr>
              <w:t>政府购买服务合同履行期限一般不超过</w:t>
            </w:r>
            <w:r>
              <w:rPr>
                <w:rFonts w:ascii="&quot;times new roman&quot;" w:hAnsi="&quot;times new roman&quot;" w:cs="&quot;times new roman&quot;" w:eastAsia="&quot;times new roman&quot;"/>
                <w:sz w:val="24"/>
                <w:color w:val="0000FF"/>
              </w:rPr>
              <w:t xml:space="preserve"> 1 </w:t>
            </w:r>
            <w:r>
              <w:rPr>
                <w:rFonts w:ascii="宋体" w:hAnsi="宋体" w:cs="宋体" w:eastAsia="宋体"/>
                <w:sz w:val="24"/>
                <w:color w:val="0000FF"/>
              </w:rPr>
              <w:t xml:space="preserve">年；在预算保障的前提下，对于购买内容相对固定、连续性强、经费来源稳定、价格变化幅度小的政府购买服务项目，可以签订履行期限不超过 </w:t>
            </w:r>
            <w:r>
              <w:rPr>
                <w:rFonts w:ascii="times new roman, times, serif" w:hAnsi="times new roman, times, serif" w:cs="times new roman, times, serif" w:eastAsia="times new roman, times, serif"/>
                <w:sz w:val="24"/>
                <w:color w:val="0000FF"/>
              </w:rPr>
              <w:t xml:space="preserve">3 </w:t>
            </w:r>
            <w:r>
              <w:rPr>
                <w:rFonts w:ascii="宋体" w:hAnsi="宋体" w:cs="宋体" w:eastAsia="宋体"/>
                <w:sz w:val="24"/>
                <w:color w:val="0000FF"/>
              </w:rPr>
              <w:t>年的政府购买服务合同</w:t>
            </w:r>
            <w:r>
              <w:rPr>
                <w:rFonts w:ascii="宋体" w:hAnsi="宋体" w:cs="宋体" w:eastAsia="宋体"/>
                <w:sz w:val="24"/>
                <w:color w:val="0000FF"/>
              </w:rPr>
              <w:t>”的规定，</w:t>
            </w:r>
            <w:r>
              <w:rPr>
                <w:rFonts w:ascii="宋体" w:hAnsi="宋体" w:cs="宋体" w:eastAsia="宋体"/>
                <w:sz w:val="24"/>
                <w:color w:val="0000FF"/>
              </w:rPr>
              <w:t>合同可续签贰年，每年期满后，采购人根据当年运维报告和结算清单据实结算运维费用，与中标人续签下壹年合同，但中标单价不予调整</w:t>
            </w:r>
            <w:r>
              <w:rPr>
                <w:rFonts w:ascii="&quot;times new roman&quot;" w:hAnsi="&quot;times new roman&quot;" w:cs="&quot;times new roman&quot;" w:eastAsia="&quot;times new roman&quot;"/>
                <w:sz w:val="24"/>
                <w:color w:val="0000FF"/>
              </w:rPr>
              <w:t>)</w:t>
            </w:r>
            <w:r>
              <w:rPr>
                <w:rFonts w:ascii="宋体" w:hAnsi="宋体" w:cs="宋体" w:eastAsia="宋体"/>
                <w:sz w:val="24"/>
                <w:color w:val="0000FF"/>
              </w:rPr>
              <w:t>。</w:t>
            </w:r>
          </w:p>
          <w:tbl>
            <w:tblPr>
              <w:tblBorders>
                <w:top w:val="none" w:color="000000" w:sz="4"/>
                <w:left w:val="none" w:color="000000" w:sz="4"/>
                <w:bottom w:val="none" w:color="000000" w:sz="4"/>
                <w:right w:val="none" w:color="000000" w:sz="4"/>
                <w:insideH w:val="none"/>
                <w:insideV w:val="none"/>
              </w:tblBorders>
            </w:tblPr>
            <w:tblGrid>
              <w:gridCol w:w="378"/>
              <w:gridCol w:w="389"/>
              <w:gridCol w:w="2424"/>
            </w:tblGrid>
            <w:tr>
              <w:tc>
                <w:tcPr>
                  <w:tcW w:type="dxa" w:w="3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 xml:space="preserve"> </w:t>
                  </w:r>
                  <w:r>
                    <w:rPr>
                      <w:rFonts w:ascii="宋体" w:hAnsi="宋体" w:cs="宋体" w:eastAsia="宋体"/>
                      <w:sz w:val="19"/>
                    </w:rPr>
                    <w:t>参数性质</w:t>
                  </w:r>
                </w:p>
              </w:tc>
              <w:tc>
                <w:tcPr>
                  <w:tcW w:type="dxa" w:w="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 xml:space="preserve"> </w:t>
                  </w:r>
                  <w:r>
                    <w:rPr>
                      <w:rFonts w:ascii="宋体" w:hAnsi="宋体" w:cs="宋体" w:eastAsia="宋体"/>
                      <w:sz w:val="19"/>
                    </w:rPr>
                    <w:t>序号</w:t>
                  </w:r>
                </w:p>
              </w:tc>
              <w:tc>
                <w:tcPr>
                  <w:tcW w:type="dxa" w:w="24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 xml:space="preserve"> </w:t>
                  </w:r>
                  <w:r>
                    <w:rPr>
                      <w:rFonts w:ascii="宋体" w:hAnsi="宋体" w:cs="宋体" w:eastAsia="宋体"/>
                      <w:sz w:val="19"/>
                    </w:rPr>
                    <w:t>技术参数与性能指标</w:t>
                  </w:r>
                </w:p>
              </w:tc>
            </w:tr>
            <w:tr>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1</w:t>
                  </w:r>
                </w:p>
              </w:tc>
              <w:tc>
                <w:tcPr>
                  <w:tcW w:type="dxa" w:w="2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60"/>
                    <w:jc w:val="both"/>
                  </w:pPr>
                  <w:r>
                    <w:rPr>
                      <w:rFonts w:ascii="宋体" w:hAnsi="宋体" w:cs="宋体" w:eastAsia="宋体"/>
                      <w:sz w:val="18"/>
                    </w:rPr>
                    <w:t>1.1服务内容：</w:t>
                  </w:r>
                  <w:r>
                    <w:rPr>
                      <w:rFonts w:ascii="宋体" w:hAnsi="宋体" w:cs="宋体" w:eastAsia="宋体"/>
                      <w:sz w:val="18"/>
                    </w:rPr>
                    <w:t>需要对整个系统平台进行为期</w:t>
                  </w:r>
                  <w:r>
                    <w:rPr>
                      <w:rFonts w:ascii="宋体" w:hAnsi="宋体" w:cs="宋体" w:eastAsia="宋体"/>
                      <w:sz w:val="18"/>
                    </w:rPr>
                    <w:t>1年的维护，维护的范围包括</w:t>
                  </w:r>
                  <w:r>
                    <w:rPr>
                      <w:rFonts w:ascii="宋体" w:hAnsi="宋体" w:cs="宋体" w:eastAsia="宋体"/>
                      <w:sz w:val="18"/>
                    </w:rPr>
                    <w:t>网络、服务器及数据的日常运维</w:t>
                  </w:r>
                  <w:r>
                    <w:rPr>
                      <w:rFonts w:ascii="宋体" w:hAnsi="宋体" w:cs="宋体" w:eastAsia="宋体"/>
                      <w:sz w:val="18"/>
                    </w:rPr>
                    <w:t>；</w:t>
                  </w:r>
                  <w:r>
                    <w:rPr>
                      <w:rFonts w:ascii="宋体" w:hAnsi="宋体" w:cs="宋体" w:eastAsia="宋体"/>
                      <w:sz w:val="18"/>
                    </w:rPr>
                    <w:t>对</w:t>
                  </w:r>
                  <w:r>
                    <w:rPr>
                      <w:rFonts w:ascii="宋体" w:hAnsi="宋体" w:cs="宋体" w:eastAsia="宋体"/>
                      <w:sz w:val="18"/>
                    </w:rPr>
                    <w:t>系统及服务器漏洞扫描与防护；对系统功能的完善及升级；对硬件设备的维护保养；</w:t>
                  </w:r>
                  <w:r>
                    <w:rPr>
                      <w:rFonts w:ascii="宋体" w:hAnsi="宋体" w:cs="宋体" w:eastAsia="宋体"/>
                      <w:sz w:val="18"/>
                    </w:rPr>
                    <w:t>对短信平台服务</w:t>
                  </w:r>
                  <w:r>
                    <w:rPr>
                      <w:rFonts w:ascii="宋体" w:hAnsi="宋体" w:cs="宋体" w:eastAsia="宋体"/>
                      <w:sz w:val="18"/>
                    </w:rPr>
                    <w:t>、</w:t>
                  </w:r>
                  <w:r>
                    <w:rPr>
                      <w:rFonts w:ascii="宋体" w:hAnsi="宋体" w:cs="宋体" w:eastAsia="宋体"/>
                      <w:sz w:val="18"/>
                    </w:rPr>
                    <w:t>物联网</w:t>
                  </w:r>
                  <w:r>
                    <w:rPr>
                      <w:rFonts w:ascii="宋体" w:hAnsi="宋体" w:cs="宋体" w:eastAsia="宋体"/>
                      <w:sz w:val="18"/>
                    </w:rPr>
                    <w:t>SIM流量专人进行</w:t>
                  </w:r>
                  <w:r>
                    <w:rPr>
                      <w:rFonts w:ascii="宋体" w:hAnsi="宋体" w:cs="宋体" w:eastAsia="宋体"/>
                      <w:sz w:val="18"/>
                    </w:rPr>
                    <w:t>日常管理</w:t>
                  </w:r>
                  <w:r>
                    <w:rPr>
                      <w:rFonts w:ascii="宋体" w:hAnsi="宋体" w:cs="宋体" w:eastAsia="宋体"/>
                      <w:sz w:val="18"/>
                    </w:rPr>
                    <w:t>。</w:t>
                  </w:r>
                  <w:r>
                    <w:rPr>
                      <w:rFonts w:ascii="宋体" w:hAnsi="宋体" w:cs="宋体" w:eastAsia="宋体"/>
                      <w:sz w:val="18"/>
                    </w:rPr>
                    <w:t>针对软件平台系统进行</w:t>
                  </w:r>
                  <w:r>
                    <w:rPr>
                      <w:rFonts w:ascii="宋体" w:hAnsi="宋体" w:cs="宋体" w:eastAsia="宋体"/>
                      <w:sz w:val="18"/>
                    </w:rPr>
                    <w:t>日常维护，每天定时登录服务器检查程序服务中间件、软件系统、服务器软件日志是否存在异常和报错，检查服务器网络是否存在异常；定期漏洞修复；平台功能升级</w:t>
                  </w:r>
                  <w:r>
                    <w:rPr>
                      <w:rFonts w:ascii="宋体" w:hAnsi="宋体" w:cs="宋体" w:eastAsia="宋体"/>
                      <w:sz w:val="18"/>
                    </w:rPr>
                    <w:t>、车载客户端软件、平台联调集成、接入后管理运营</w:t>
                  </w:r>
                  <w:r>
                    <w:rPr>
                      <w:rFonts w:ascii="宋体" w:hAnsi="宋体" w:cs="宋体" w:eastAsia="宋体"/>
                      <w:sz w:val="18"/>
                    </w:rPr>
                    <w:t>、数据备份</w:t>
                  </w:r>
                  <w:r>
                    <w:rPr>
                      <w:rFonts w:ascii="宋体" w:hAnsi="宋体" w:cs="宋体" w:eastAsia="宋体"/>
                      <w:sz w:val="18"/>
                    </w:rPr>
                    <w:t>等维护性操作。</w:t>
                  </w:r>
                  <w:r>
                    <w:rPr>
                      <w:rFonts w:ascii="宋体" w:hAnsi="宋体" w:cs="宋体" w:eastAsia="宋体"/>
                      <w:sz w:val="18"/>
                    </w:rPr>
                    <w:t>对</w:t>
                  </w:r>
                  <w:r>
                    <w:rPr>
                      <w:rFonts w:ascii="宋体" w:hAnsi="宋体" w:cs="宋体" w:eastAsia="宋体"/>
                      <w:sz w:val="18"/>
                    </w:rPr>
                    <w:t>XXX台</w:t>
                  </w:r>
                  <w:r>
                    <w:rPr>
                      <w:rFonts w:ascii="宋体" w:hAnsi="宋体" w:cs="宋体" w:eastAsia="宋体"/>
                      <w:sz w:val="18"/>
                    </w:rPr>
                    <w:t>北斗定位终端拆除、改装、维修、定期巡检、维护保养、设备系统升级</w:t>
                  </w:r>
                  <w:r>
                    <w:rPr>
                      <w:rFonts w:ascii="宋体" w:hAnsi="宋体" w:cs="宋体" w:eastAsia="宋体"/>
                      <w:sz w:val="18"/>
                    </w:rPr>
                    <w:t>。</w:t>
                  </w:r>
                </w:p>
                <w:p>
                  <w:pPr>
                    <w:pStyle w:val="null3"/>
                    <w:ind w:firstLine="360"/>
                    <w:jc w:val="both"/>
                  </w:pPr>
                  <w:r>
                    <w:rPr>
                      <w:rFonts w:ascii="宋体" w:hAnsi="宋体" w:cs="宋体" w:eastAsia="宋体"/>
                      <w:sz w:val="18"/>
                    </w:rPr>
                    <w:t>1.2</w:t>
                  </w:r>
                  <w:r>
                    <w:rPr>
                      <w:rFonts w:ascii="微软雅黑 light" w:hAnsi="微软雅黑 light" w:cs="微软雅黑 light" w:eastAsia="微软雅黑 light"/>
                      <w:sz w:val="18"/>
                      <w:b/>
                    </w:rPr>
                    <w:t>终端设备</w:t>
                  </w:r>
                  <w:r>
                    <w:rPr>
                      <w:rFonts w:ascii="微软雅黑 light" w:hAnsi="微软雅黑 light" w:cs="微软雅黑 light" w:eastAsia="微软雅黑 light"/>
                      <w:sz w:val="18"/>
                      <w:b/>
                    </w:rPr>
                    <w:t>备品备件</w:t>
                  </w:r>
                  <w:r>
                    <w:rPr>
                      <w:rFonts w:ascii="微软雅黑 light" w:hAnsi="微软雅黑 light" w:cs="微软雅黑 light" w:eastAsia="微软雅黑 light"/>
                      <w:sz w:val="18"/>
                      <w:b/>
                    </w:rPr>
                    <w:t>技术要求</w:t>
                  </w:r>
                </w:p>
                <w:p>
                  <w:pPr>
                    <w:pStyle w:val="null3"/>
                    <w:ind w:firstLine="360"/>
                    <w:jc w:val="both"/>
                  </w:pPr>
                  <w:r>
                    <w:rPr>
                      <w:rFonts w:ascii="宋体" w:hAnsi="宋体" w:cs="宋体" w:eastAsia="宋体"/>
                      <w:sz w:val="18"/>
                      <w:b/>
                    </w:rPr>
                    <w:t>北斗定位车载终端：</w:t>
                  </w:r>
                  <w:r>
                    <w:rPr>
                      <w:rFonts w:ascii="宋体" w:hAnsi="宋体" w:cs="宋体" w:eastAsia="宋体"/>
                      <w:sz w:val="18"/>
                    </w:rPr>
                    <w:t>北斗车载终端可实现车辆定位及车身动态信息采集，具有远程参数配置功能</w:t>
                  </w:r>
                  <w:r>
                    <w:rPr>
                      <w:rFonts w:ascii="宋体" w:hAnsi="宋体" w:cs="宋体" w:eastAsia="宋体"/>
                      <w:sz w:val="18"/>
                    </w:rPr>
                    <w:t>，</w:t>
                  </w:r>
                  <w:r>
                    <w:rPr>
                      <w:rFonts w:ascii="宋体" w:hAnsi="宋体" w:cs="宋体" w:eastAsia="宋体"/>
                      <w:sz w:val="18"/>
                    </w:rPr>
                    <w:t>为了保证后续产品服务的连贯性，北斗定位终端供应商应该与本平台建设供应方保持一致或能够提供统一的售后服务及技术服务。</w:t>
                  </w:r>
                </w:p>
                <w:p>
                  <w:pPr>
                    <w:pStyle w:val="null3"/>
                    <w:ind w:firstLine="360"/>
                    <w:jc w:val="both"/>
                  </w:pPr>
                  <w:r>
                    <w:rPr>
                      <w:rFonts w:ascii="宋体" w:hAnsi="宋体" w:cs="宋体" w:eastAsia="宋体"/>
                      <w:sz w:val="18"/>
                    </w:rPr>
                    <w:t>北斗定位车载终端技术要求</w:t>
                  </w:r>
                </w:p>
                <w:p>
                  <w:pPr>
                    <w:pStyle w:val="null3"/>
                    <w:ind w:firstLine="360"/>
                    <w:jc w:val="both"/>
                  </w:pPr>
                  <w:r>
                    <w:rPr>
                      <w:rFonts w:ascii="宋体" w:hAnsi="宋体" w:cs="宋体" w:eastAsia="宋体"/>
                      <w:sz w:val="18"/>
                    </w:rPr>
                    <w:t>1、通过OBD直接获取车辆故障信息；</w:t>
                  </w:r>
                </w:p>
                <w:p>
                  <w:pPr>
                    <w:pStyle w:val="null3"/>
                    <w:ind w:firstLine="360"/>
                    <w:jc w:val="both"/>
                  </w:pPr>
                  <w:r>
                    <w:rPr>
                      <w:rFonts w:ascii="宋体" w:hAnsi="宋体" w:cs="宋体" w:eastAsia="宋体"/>
                      <w:sz w:val="18"/>
                    </w:rPr>
                    <w:t>2、具有实时位置查询、定时监控、盲区补传、终端软件远程升级功能；</w:t>
                  </w:r>
                </w:p>
                <w:p>
                  <w:pPr>
                    <w:pStyle w:val="null3"/>
                    <w:ind w:firstLine="360"/>
                    <w:jc w:val="both"/>
                  </w:pPr>
                  <w:r>
                    <w:rPr>
                      <w:rFonts w:ascii="宋体" w:hAnsi="宋体" w:cs="宋体" w:eastAsia="宋体"/>
                      <w:sz w:val="18"/>
                    </w:rPr>
                    <w:t>3、具有区域限制、超速报警、低压报警、主电源掉电报警功能；</w:t>
                  </w:r>
                </w:p>
                <w:p>
                  <w:pPr>
                    <w:pStyle w:val="null3"/>
                    <w:ind w:firstLine="360"/>
                    <w:jc w:val="both"/>
                  </w:pPr>
                  <w:r>
                    <w:rPr>
                      <w:rFonts w:ascii="宋体" w:hAnsi="宋体" w:cs="宋体" w:eastAsia="宋体"/>
                      <w:sz w:val="18"/>
                    </w:rPr>
                    <w:t>4、拐点补传、基站定位以及低功耗模式；</w:t>
                  </w:r>
                </w:p>
                <w:p>
                  <w:pPr>
                    <w:pStyle w:val="null3"/>
                    <w:ind w:firstLine="360"/>
                    <w:jc w:val="both"/>
                  </w:pPr>
                  <w:r>
                    <w:rPr>
                      <w:rFonts w:ascii="宋体" w:hAnsi="宋体" w:cs="宋体" w:eastAsia="宋体"/>
                      <w:sz w:val="18"/>
                    </w:rPr>
                    <w:t>环境特性：正常工作温度范围</w:t>
                  </w:r>
                  <w:r>
                    <w:rPr>
                      <w:rFonts w:ascii="宋体" w:hAnsi="宋体" w:cs="宋体" w:eastAsia="宋体"/>
                      <w:sz w:val="18"/>
                    </w:rPr>
                    <w:t>-25℃～75℃</w:t>
                  </w:r>
                </w:p>
                <w:p>
                  <w:pPr>
                    <w:pStyle w:val="null3"/>
                    <w:ind w:firstLine="360"/>
                    <w:jc w:val="both"/>
                  </w:pPr>
                  <w:r>
                    <w:rPr>
                      <w:rFonts w:ascii="宋体" w:hAnsi="宋体" w:cs="宋体" w:eastAsia="宋体"/>
                      <w:sz w:val="18"/>
                    </w:rPr>
                    <w:t>存储温度范围：</w:t>
                  </w:r>
                  <w:r>
                    <w:rPr>
                      <w:rFonts w:ascii="宋体" w:hAnsi="宋体" w:cs="宋体" w:eastAsia="宋体"/>
                      <w:sz w:val="18"/>
                    </w:rPr>
                    <w:t>-40℃～85℃；    工作电压：DC 9～36V；</w:t>
                  </w:r>
                </w:p>
                <w:p>
                  <w:pPr>
                    <w:pStyle w:val="null3"/>
                    <w:ind w:firstLine="360"/>
                    <w:jc w:val="both"/>
                  </w:pPr>
                  <w:r>
                    <w:rPr>
                      <w:rFonts w:ascii="宋体" w:hAnsi="宋体" w:cs="宋体" w:eastAsia="宋体"/>
                      <w:sz w:val="18"/>
                    </w:rPr>
                    <w:t>工作电流：</w:t>
                  </w:r>
                  <w:r>
                    <w:rPr>
                      <w:rFonts w:ascii="宋体" w:hAnsi="宋体" w:cs="宋体" w:eastAsia="宋体"/>
                      <w:sz w:val="18"/>
                    </w:rPr>
                    <w:t>48～52mA@12V（休眠状态电流18～21mA@12V）</w:t>
                  </w:r>
                </w:p>
                <w:p>
                  <w:pPr>
                    <w:pStyle w:val="null3"/>
                    <w:ind w:firstLine="360"/>
                    <w:jc w:val="both"/>
                  </w:pPr>
                  <w:r>
                    <w:rPr>
                      <w:rFonts w:ascii="宋体" w:hAnsi="宋体" w:cs="宋体" w:eastAsia="宋体"/>
                      <w:sz w:val="18"/>
                    </w:rPr>
                    <w:t>定位方式：北斗定位；</w:t>
                  </w:r>
                  <w:r>
                    <w:rPr>
                      <w:rFonts w:ascii="宋体" w:hAnsi="宋体" w:cs="宋体" w:eastAsia="宋体"/>
                      <w:sz w:val="18"/>
                    </w:rPr>
                    <w:t xml:space="preserve">      </w:t>
                  </w:r>
                  <w:r>
                    <w:rPr>
                      <w:rFonts w:ascii="宋体" w:hAnsi="宋体" w:cs="宋体" w:eastAsia="宋体"/>
                      <w:sz w:val="18"/>
                    </w:rPr>
                    <w:t>定位误差：</w:t>
                  </w:r>
                  <w:r>
                    <w:rPr>
                      <w:rFonts w:ascii="宋体" w:hAnsi="宋体" w:cs="宋体" w:eastAsia="宋体"/>
                      <w:sz w:val="18"/>
                    </w:rPr>
                    <w:t>10m；</w:t>
                  </w:r>
                </w:p>
                <w:p>
                  <w:pPr>
                    <w:pStyle w:val="null3"/>
                    <w:ind w:firstLine="360"/>
                    <w:jc w:val="both"/>
                  </w:pPr>
                  <w:r>
                    <w:rPr>
                      <w:rFonts w:ascii="宋体" w:hAnsi="宋体" w:cs="宋体" w:eastAsia="宋体"/>
                      <w:sz w:val="18"/>
                    </w:rPr>
                    <w:t>通信网络：</w:t>
                  </w:r>
                  <w:r>
                    <w:rPr>
                      <w:rFonts w:ascii="宋体" w:hAnsi="宋体" w:cs="宋体" w:eastAsia="宋体"/>
                      <w:sz w:val="18"/>
                    </w:rPr>
                    <w:t>GPRS；           通讯方式：TCP/UDP；</w:t>
                  </w:r>
                </w:p>
                <w:p>
                  <w:pPr>
                    <w:pStyle w:val="null3"/>
                    <w:ind w:firstLine="360"/>
                    <w:jc w:val="both"/>
                  </w:pPr>
                  <w:r>
                    <w:rPr>
                      <w:rFonts w:ascii="宋体" w:hAnsi="宋体" w:cs="宋体" w:eastAsia="宋体"/>
                      <w:sz w:val="18"/>
                    </w:rPr>
                    <w:t>后备电池工作时间：电池充饱电的前提下，可连续工作</w:t>
                  </w:r>
                  <w:r>
                    <w:rPr>
                      <w:rFonts w:ascii="宋体" w:hAnsi="宋体" w:cs="宋体" w:eastAsia="宋体"/>
                      <w:sz w:val="18"/>
                    </w:rPr>
                    <w:t>1.5h左右；</w:t>
                  </w:r>
                </w:p>
                <w:p>
                  <w:pPr>
                    <w:pStyle w:val="null3"/>
                    <w:ind w:firstLine="360"/>
                    <w:jc w:val="both"/>
                  </w:pPr>
                  <w:r>
                    <w:rPr>
                      <w:rFonts w:ascii="宋体" w:hAnsi="宋体" w:cs="宋体" w:eastAsia="宋体"/>
                      <w:sz w:val="18"/>
                    </w:rPr>
                    <w:t>其他性能要求：数据协议符合国家交通部</w:t>
                  </w:r>
                  <w:r>
                    <w:rPr>
                      <w:rFonts w:ascii="宋体" w:hAnsi="宋体" w:cs="宋体" w:eastAsia="宋体"/>
                      <w:sz w:val="18"/>
                    </w:rPr>
                    <w:t>JT808协议，无缝过渡公车管理平台，实现车载数据的接收、解析和存储，并与业务关联，实现对平台车辆的监管。</w:t>
                  </w:r>
                </w:p>
                <w:p>
                  <w:pPr>
                    <w:pStyle w:val="null3"/>
                    <w:numPr>
                      <w:ilvl w:val="0"/>
                      <w:numId w:val="1"/>
                    </w:numPr>
                    <w:jc w:val="both"/>
                  </w:pPr>
                  <w:r>
                    <w:rPr>
                      <w:rFonts w:ascii="微软雅黑 light" w:hAnsi="微软雅黑 light" w:cs="微软雅黑 light" w:eastAsia="微软雅黑 light"/>
                      <w:sz w:val="19"/>
                      <w:b/>
                    </w:rPr>
                    <w:t>服务</w:t>
                  </w:r>
                  <w:r>
                    <w:rPr>
                      <w:rFonts w:ascii="微软雅黑 light" w:hAnsi="微软雅黑 light" w:cs="微软雅黑 light" w:eastAsia="微软雅黑 light"/>
                      <w:sz w:val="19"/>
                      <w:b/>
                    </w:rPr>
                    <w:t>参数要求</w:t>
                  </w:r>
                </w:p>
                <w:tbl>
                  <w:tblPr>
                    <w:tblBorders>
                      <w:top w:val="none" w:color="000000" w:sz="4"/>
                      <w:left w:val="none" w:color="000000" w:sz="4"/>
                      <w:bottom w:val="none" w:color="000000" w:sz="4"/>
                      <w:right w:val="none" w:color="000000" w:sz="4"/>
                      <w:insideH w:val="none"/>
                      <w:insideV w:val="none"/>
                    </w:tblBorders>
                  </w:tblPr>
                  <w:tblGrid>
                    <w:gridCol w:w="462"/>
                    <w:gridCol w:w="449"/>
                    <w:gridCol w:w="1399"/>
                    <w:gridCol w:w="213"/>
                    <w:gridCol w:w="226"/>
                  </w:tblGrid>
                  <w:tr>
                    <w:tc>
                      <w:tcPr>
                        <w:tcW w:type="dxa" w:w="2749"/>
                        <w:gridSpan w:val="5"/>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left"/>
                        </w:pPr>
                        <w:r>
                          <w:rPr>
                            <w:rFonts w:ascii="宋体" w:hAnsi="宋体" w:cs="宋体" w:eastAsia="宋体"/>
                            <w:sz w:val="18"/>
                            <w:b/>
                          </w:rPr>
                          <w:t>软件平台及硬件设备</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名称</w:t>
                        </w:r>
                      </w:p>
                    </w:tc>
                    <w:tc>
                      <w:tcPr>
                        <w:tcW w:type="dxa" w:w="4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功能模块</w:t>
                        </w:r>
                      </w:p>
                    </w:tc>
                    <w:tc>
                      <w:tcPr>
                        <w:tcW w:type="dxa" w:w="1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功能描述（或参数要求）</w:t>
                        </w:r>
                      </w:p>
                    </w:tc>
                    <w:tc>
                      <w:tcPr>
                        <w:tcW w:type="dxa" w:w="2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数量</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单位</w:t>
                        </w:r>
                      </w:p>
                    </w:tc>
                  </w:tr>
                  <w:tr>
                    <w:tc>
                      <w:tcPr>
                        <w:tcW w:type="dxa" w:w="4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宋体" w:hAnsi="宋体" w:cs="宋体" w:eastAsia="宋体"/>
                            <w:sz w:val="18"/>
                          </w:rPr>
                          <w:t>公务用车信息管理平台</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用户登录</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宋体" w:hAnsi="宋体" w:cs="宋体" w:eastAsia="宋体"/>
                            <w:sz w:val="18"/>
                          </w:rPr>
                          <w:t>Web端和APP端支持用户名和口令</w:t>
                        </w:r>
                        <w:r>
                          <w:rPr>
                            <w:rFonts w:ascii="宋体" w:hAnsi="宋体" w:cs="宋体" w:eastAsia="宋体"/>
                            <w:sz w:val="18"/>
                          </w:rPr>
                          <w:t>登录</w:t>
                        </w:r>
                      </w:p>
                    </w:tc>
                    <w:tc>
                      <w:tcPr>
                        <w:tcW w:type="dxa" w:w="2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cambria" w:hAnsi="cambria" w:cs="cambria" w:eastAsia="cambria"/>
                            <w:sz w:val="18"/>
                          </w:rPr>
                          <w:t>1</w:t>
                        </w:r>
                      </w:p>
                    </w:tc>
                    <w:tc>
                      <w:tcPr>
                        <w:tcW w:type="dxa" w:w="2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宋体" w:hAnsi="宋体" w:cs="宋体" w:eastAsia="宋体"/>
                            <w:sz w:val="18"/>
                          </w:rPr>
                          <w:t>套</w:t>
                        </w:r>
                      </w:p>
                    </w:tc>
                  </w:tr>
                  <w:tr>
                    <w:tc>
                      <w:tcPr>
                        <w:tcW w:type="dxa" w:w="462"/>
                        <w:vMerge/>
                        <w:tcBorders>
                          <w:top w:val="none" w:color="000000" w:sz="4"/>
                          <w:left w:val="single" w:color="000000" w:sz="4"/>
                          <w:bottom w:val="single" w:color="000000" w:sz="4"/>
                          <w:right w:val="single" w:color="000000" w:sz="4"/>
                        </w:tcBorders>
                      </w:tcP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工作台</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宋体" w:hAnsi="宋体" w:cs="宋体" w:eastAsia="宋体"/>
                            <w:sz w:val="18"/>
                          </w:rPr>
                          <w:t>展示公车平台总体运行状况，包括车辆数、车辆运行状态、订单数量、使用率等指标；不同角色登录看到不同的展示信息</w:t>
                        </w:r>
                      </w:p>
                    </w:tc>
                    <w:tc>
                      <w:tcPr>
                        <w:tcW w:type="dxa" w:w="213"/>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r>
                  <w:tr>
                    <w:tc>
                      <w:tcPr>
                        <w:tcW w:type="dxa" w:w="462"/>
                        <w:vMerge/>
                        <w:tcBorders>
                          <w:top w:val="none" w:color="000000" w:sz="4"/>
                          <w:left w:val="single" w:color="000000" w:sz="4"/>
                          <w:bottom w:val="single" w:color="000000" w:sz="4"/>
                          <w:right w:val="single" w:color="000000" w:sz="4"/>
                        </w:tcBorders>
                      </w:tcP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报警总览</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宋体" w:hAnsi="宋体" w:cs="宋体" w:eastAsia="宋体"/>
                            <w:sz w:val="18"/>
                          </w:rPr>
                          <w:t>通过一张图可以看到整个平台车辆不同类型告警信息的总览数据。</w:t>
                        </w:r>
                      </w:p>
                    </w:tc>
                    <w:tc>
                      <w:tcPr>
                        <w:tcW w:type="dxa" w:w="213"/>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r>
                  <w:tr>
                    <w:tc>
                      <w:tcPr>
                        <w:tcW w:type="dxa" w:w="462"/>
                        <w:vMerge/>
                        <w:tcBorders>
                          <w:top w:val="none" w:color="000000" w:sz="4"/>
                          <w:left w:val="single" w:color="000000" w:sz="4"/>
                          <w:bottom w:val="single" w:color="000000" w:sz="4"/>
                          <w:right w:val="single" w:color="000000" w:sz="4"/>
                        </w:tcBorders>
                      </w:tcP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报警设置</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宋体" w:hAnsi="宋体" w:cs="宋体" w:eastAsia="宋体"/>
                            <w:sz w:val="18"/>
                          </w:rPr>
                          <w:t>可以针对不同的场景和业务流程设置不同的告警规则条件，同时还可以针对短信提醒规则、数据上报规则、告警时效等参数进行设置。</w:t>
                        </w:r>
                      </w:p>
                    </w:tc>
                    <w:tc>
                      <w:tcPr>
                        <w:tcW w:type="dxa" w:w="213"/>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r>
                  <w:tr>
                    <w:tc>
                      <w:tcPr>
                        <w:tcW w:type="dxa" w:w="462"/>
                        <w:vMerge/>
                        <w:tcBorders>
                          <w:top w:val="none" w:color="000000" w:sz="4"/>
                          <w:left w:val="single" w:color="000000" w:sz="4"/>
                          <w:bottom w:val="single" w:color="000000" w:sz="4"/>
                          <w:right w:val="single" w:color="000000" w:sz="4"/>
                        </w:tcBorders>
                      </w:tcP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车辆报警</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宋体" w:hAnsi="宋体" w:cs="宋体" w:eastAsia="宋体"/>
                            <w:sz w:val="18"/>
                          </w:rPr>
                          <w:t>包括超速报警、离线报警、未审批出车报警、断电报警等几种报警类型的业务数据的统计和呈现。</w:t>
                        </w:r>
                      </w:p>
                    </w:tc>
                    <w:tc>
                      <w:tcPr>
                        <w:tcW w:type="dxa" w:w="213"/>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r>
                  <w:tr>
                    <w:tc>
                      <w:tcPr>
                        <w:tcW w:type="dxa" w:w="462"/>
                        <w:vMerge/>
                        <w:tcBorders>
                          <w:top w:val="none" w:color="000000" w:sz="4"/>
                          <w:left w:val="single" w:color="000000" w:sz="4"/>
                          <w:bottom w:val="single" w:color="000000" w:sz="4"/>
                          <w:right w:val="single" w:color="000000" w:sz="4"/>
                        </w:tcBorders>
                      </w:tcP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全省一张网</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宋体" w:hAnsi="宋体" w:cs="宋体" w:eastAsia="宋体"/>
                            <w:sz w:val="18"/>
                          </w:rPr>
                          <w:t>通过一张地图实现所有车辆在一张网中定位和呈现，也是体现省市县数据互通的一种场景；</w:t>
                        </w:r>
                      </w:p>
                    </w:tc>
                    <w:tc>
                      <w:tcPr>
                        <w:tcW w:type="dxa" w:w="213"/>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r>
                  <w:tr>
                    <w:tc>
                      <w:tcPr>
                        <w:tcW w:type="dxa" w:w="462"/>
                        <w:vMerge/>
                        <w:tcBorders>
                          <w:top w:val="none" w:color="000000" w:sz="4"/>
                          <w:left w:val="single" w:color="000000" w:sz="4"/>
                          <w:bottom w:val="single" w:color="000000" w:sz="4"/>
                          <w:right w:val="single" w:color="000000" w:sz="4"/>
                        </w:tcBorders>
                      </w:tcP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监督分析</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宋体" w:hAnsi="宋体" w:cs="宋体" w:eastAsia="宋体"/>
                            <w:sz w:val="18"/>
                          </w:rPr>
                          <w:t>包括车辆统计、订单统计、历史统计等：可以对车辆数据进行统计；可按照单位部门、车辆类型等维度实现车辆统计，按照车辆的性质分类、车辆的类型进行统计；对产生的订单数据进行不同维度的统计分析，可按照出行次数、区域订单数、时间等维度进行统计，可按照数量进行排行；对车辆的使用频率进行统计和分析，按照使用率进行排行；</w:t>
                        </w:r>
                      </w:p>
                    </w:tc>
                    <w:tc>
                      <w:tcPr>
                        <w:tcW w:type="dxa" w:w="213"/>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r>
                  <w:tr>
                    <w:tc>
                      <w:tcPr>
                        <w:tcW w:type="dxa" w:w="462"/>
                        <w:vMerge/>
                        <w:tcBorders>
                          <w:top w:val="none" w:color="000000" w:sz="4"/>
                          <w:left w:val="single" w:color="000000" w:sz="4"/>
                          <w:bottom w:val="single" w:color="000000" w:sz="4"/>
                          <w:right w:val="single" w:color="000000" w:sz="4"/>
                        </w:tcBorders>
                      </w:tcP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用车申请</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宋体" w:hAnsi="宋体" w:cs="宋体" w:eastAsia="宋体"/>
                            <w:sz w:val="18"/>
                          </w:rPr>
                          <w:t>支持在线申请公务用车流程，满足本单位用车、跨单位用车等不同场景下的流程需要；支持对于任务型场景下的用车需求，满足应急公务、执法执勤等特殊场景下的用车申请流程</w:t>
                        </w:r>
                      </w:p>
                    </w:tc>
                    <w:tc>
                      <w:tcPr>
                        <w:tcW w:type="dxa" w:w="213"/>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r>
                  <w:tr>
                    <w:tc>
                      <w:tcPr>
                        <w:tcW w:type="dxa" w:w="462"/>
                        <w:vMerge/>
                        <w:tcBorders>
                          <w:top w:val="none" w:color="000000" w:sz="4"/>
                          <w:left w:val="single" w:color="000000" w:sz="4"/>
                          <w:bottom w:val="single" w:color="000000" w:sz="4"/>
                          <w:right w:val="single" w:color="000000" w:sz="4"/>
                        </w:tcBorders>
                      </w:tcP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车辆监控</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宋体" w:hAnsi="宋体" w:cs="宋体" w:eastAsia="宋体"/>
                            <w:sz w:val="18"/>
                          </w:rPr>
                          <w:t>支持在一张图上实现所有车辆的位置定位；针对车辆实时位置，可进行动态车辆跟踪，查看车辆当前状态和位置以及对应的订单信息；系统提供车辆轨迹回放功能，通过查询目标车辆运行的历史时间段，在地图上勾画车辆运行轨迹，并可动态播放；</w:t>
                        </w:r>
                      </w:p>
                    </w:tc>
                    <w:tc>
                      <w:tcPr>
                        <w:tcW w:type="dxa" w:w="213"/>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r>
                  <w:tr>
                    <w:tc>
                      <w:tcPr>
                        <w:tcW w:type="dxa" w:w="462"/>
                        <w:vMerge/>
                        <w:tcBorders>
                          <w:top w:val="none" w:color="000000" w:sz="4"/>
                          <w:left w:val="single" w:color="000000" w:sz="4"/>
                          <w:bottom w:val="single" w:color="000000" w:sz="4"/>
                          <w:right w:val="single" w:color="000000" w:sz="4"/>
                        </w:tcBorders>
                      </w:tcP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车辆档案</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宋体" w:hAnsi="宋体" w:cs="宋体" w:eastAsia="宋体"/>
                            <w:sz w:val="18"/>
                          </w:rPr>
                          <w:t>提供对所有车辆登记功能，支持信息的更新、图片上传以及信息维护等基本功能；</w:t>
                        </w:r>
                      </w:p>
                    </w:tc>
                    <w:tc>
                      <w:tcPr>
                        <w:tcW w:type="dxa" w:w="213"/>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r>
                  <w:tr>
                    <w:tc>
                      <w:tcPr>
                        <w:tcW w:type="dxa" w:w="462"/>
                        <w:vMerge/>
                        <w:tcBorders>
                          <w:top w:val="none" w:color="000000" w:sz="4"/>
                          <w:left w:val="single" w:color="000000" w:sz="4"/>
                          <w:bottom w:val="single" w:color="000000" w:sz="4"/>
                          <w:right w:val="single" w:color="000000" w:sz="4"/>
                        </w:tcBorders>
                      </w:tcP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车辆维护</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宋体" w:hAnsi="宋体" w:cs="宋体" w:eastAsia="宋体"/>
                            <w:sz w:val="18"/>
                          </w:rPr>
                          <w:t>平台应该具备对车辆的维保记录、加油管理、油卡、年检、违章、</w:t>
                        </w:r>
                        <w:r>
                          <w:rPr>
                            <w:rFonts w:ascii="cambria" w:hAnsi="cambria" w:cs="cambria" w:eastAsia="cambria"/>
                            <w:sz w:val="18"/>
                          </w:rPr>
                          <w:t>ETC</w:t>
                        </w:r>
                        <w:r>
                          <w:rPr>
                            <w:rFonts w:ascii="宋体" w:hAnsi="宋体" w:cs="宋体" w:eastAsia="宋体"/>
                            <w:sz w:val="18"/>
                          </w:rPr>
                          <w:t>、保险等，与车辆维护相关的管理功能，可以通过平台信息了解该车辆的运行维护现状；</w:t>
                        </w:r>
                      </w:p>
                    </w:tc>
                    <w:tc>
                      <w:tcPr>
                        <w:tcW w:type="dxa" w:w="213"/>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r>
                  <w:tr>
                    <w:tc>
                      <w:tcPr>
                        <w:tcW w:type="dxa" w:w="462"/>
                        <w:vMerge/>
                        <w:tcBorders>
                          <w:top w:val="none" w:color="000000" w:sz="4"/>
                          <w:left w:val="single" w:color="000000" w:sz="4"/>
                          <w:bottom w:val="single" w:color="000000" w:sz="4"/>
                          <w:right w:val="single" w:color="000000" w:sz="4"/>
                        </w:tcBorders>
                      </w:tcP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驾驶员管理</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宋体" w:hAnsi="宋体" w:cs="宋体" w:eastAsia="宋体"/>
                            <w:sz w:val="18"/>
                          </w:rPr>
                          <w:t>提供对驾驶员信息的维护管理功能，可对驾驶员档案进行登记和维护；同时对于驾驶员考勤，包括出勤、请假等日常工作在岗状态进行管理；</w:t>
                        </w:r>
                      </w:p>
                    </w:tc>
                    <w:tc>
                      <w:tcPr>
                        <w:tcW w:type="dxa" w:w="213"/>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r>
                  <w:tr>
                    <w:tc>
                      <w:tcPr>
                        <w:tcW w:type="dxa" w:w="462"/>
                        <w:vMerge/>
                        <w:tcBorders>
                          <w:top w:val="none" w:color="000000" w:sz="4"/>
                          <w:left w:val="single" w:color="000000" w:sz="4"/>
                          <w:bottom w:val="single" w:color="000000" w:sz="4"/>
                          <w:right w:val="single" w:color="000000" w:sz="4"/>
                        </w:tcBorders>
                      </w:tcP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第三方公司对接</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宋体" w:hAnsi="宋体" w:cs="宋体" w:eastAsia="宋体"/>
                            <w:sz w:val="18"/>
                          </w:rPr>
                          <w:t>系统提供针对可以提供合作的社会化车辆租赁、维保、保险等第三方运营公司的信息进行新增、编辑、删除、停用等日常管理操作</w:t>
                        </w:r>
                      </w:p>
                    </w:tc>
                    <w:tc>
                      <w:tcPr>
                        <w:tcW w:type="dxa" w:w="213"/>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r>
                  <w:tr>
                    <w:tc>
                      <w:tcPr>
                        <w:tcW w:type="dxa" w:w="462"/>
                        <w:vMerge/>
                        <w:tcBorders>
                          <w:top w:val="none" w:color="000000" w:sz="4"/>
                          <w:left w:val="single" w:color="000000" w:sz="4"/>
                          <w:bottom w:val="single" w:color="000000" w:sz="4"/>
                          <w:right w:val="single" w:color="000000" w:sz="4"/>
                        </w:tcBorders>
                      </w:tcP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系统设置</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宋体" w:hAnsi="宋体" w:cs="宋体" w:eastAsia="宋体"/>
                            <w:sz w:val="18"/>
                          </w:rPr>
                          <w:t>为保证系统正常运行，提供用户管理、权限设置、角色、流程参数等有关基础维护的相关功能；</w:t>
                        </w:r>
                      </w:p>
                    </w:tc>
                    <w:tc>
                      <w:tcPr>
                        <w:tcW w:type="dxa" w:w="213"/>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r>
                  <w:tr>
                    <w:tc>
                      <w:tcPr>
                        <w:tcW w:type="dxa" w:w="4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宋体" w:hAnsi="宋体" w:cs="宋体" w:eastAsia="宋体"/>
                            <w:sz w:val="18"/>
                          </w:rPr>
                          <w:t>手机客户端软件</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手机</w:t>
                        </w:r>
                        <w:r>
                          <w:rPr>
                            <w:rFonts w:ascii="times new roman, times, serif" w:hAnsi="times new roman, times, serif" w:cs="times new roman, times, serif" w:eastAsia="times new roman, times, serif"/>
                            <w:sz w:val="18"/>
                          </w:rPr>
                          <w:t>APP</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宋体" w:hAnsi="宋体" w:cs="宋体" w:eastAsia="宋体"/>
                            <w:sz w:val="18"/>
                          </w:rPr>
                          <w:t>实现驾驶员账号口令登录，在线任务操作，通过手机</w:t>
                        </w:r>
                        <w:r>
                          <w:rPr>
                            <w:rFonts w:ascii="宋体" w:hAnsi="宋体" w:cs="宋体" w:eastAsia="宋体"/>
                            <w:sz w:val="18"/>
                          </w:rPr>
                          <w:t>APP实现接单、执行任务、提交车辆产生费用、入库操作；在线申请维修、保养，在线申请请假、休假，打卡签到操作，实现任务导航功能等。</w:t>
                        </w:r>
                      </w:p>
                      <w:p>
                        <w:pPr>
                          <w:pStyle w:val="null3"/>
                          <w:jc w:val="both"/>
                        </w:pPr>
                        <w:r>
                          <w:rPr>
                            <w:rFonts w:ascii="宋体" w:hAnsi="宋体" w:cs="宋体" w:eastAsia="宋体"/>
                            <w:sz w:val="18"/>
                          </w:rPr>
                          <w:t>管理人员通过账号、口令</w:t>
                        </w:r>
                        <w:r>
                          <w:rPr>
                            <w:rFonts w:ascii="宋体" w:hAnsi="宋体" w:cs="宋体" w:eastAsia="宋体"/>
                            <w:sz w:val="18"/>
                          </w:rPr>
                          <w:t>登录</w:t>
                        </w:r>
                        <w:r>
                          <w:rPr>
                            <w:rFonts w:ascii="宋体" w:hAnsi="宋体" w:cs="宋体" w:eastAsia="宋体"/>
                            <w:sz w:val="18"/>
                          </w:rPr>
                          <w:t>，实现订单多级在线审批，车辆总体位置监控、单车任务跟踪、历史轨迹回放、费用核实、统计分析、调度日志查看。</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cambria" w:hAnsi="cambria" w:cs="cambria" w:eastAsia="cambria"/>
                            <w:sz w:val="18"/>
                          </w:rPr>
                          <w:t>1</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宋体" w:hAnsi="宋体" w:cs="宋体" w:eastAsia="宋体"/>
                            <w:sz w:val="18"/>
                          </w:rPr>
                          <w:t>套</w:t>
                        </w:r>
                      </w:p>
                    </w:tc>
                  </w:tr>
                  <w:tr>
                    <w:tc>
                      <w:tcPr>
                        <w:tcW w:type="dxa" w:w="462"/>
                        <w:vMerge/>
                        <w:tcBorders>
                          <w:top w:val="none" w:color="000000" w:sz="4"/>
                          <w:left w:val="single" w:color="000000" w:sz="4"/>
                          <w:bottom w:val="single" w:color="000000" w:sz="4"/>
                          <w:right w:val="single" w:color="000000" w:sz="4"/>
                        </w:tcBorders>
                      </w:tcP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微信</w:t>
                        </w:r>
                        <w:r>
                          <w:rPr>
                            <w:rFonts w:ascii="宋体" w:hAnsi="宋体" w:cs="宋体" w:eastAsia="宋体"/>
                            <w:sz w:val="18"/>
                          </w:rPr>
                          <w:t>小程序</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宋体" w:hAnsi="宋体" w:cs="宋体" w:eastAsia="宋体"/>
                            <w:sz w:val="18"/>
                          </w:rPr>
                          <w:t>实现驾驶员账号口令登录，在线任务操作，通过手机</w:t>
                        </w:r>
                        <w:r>
                          <w:rPr>
                            <w:rFonts w:ascii="宋体" w:hAnsi="宋体" w:cs="宋体" w:eastAsia="宋体"/>
                            <w:sz w:val="18"/>
                          </w:rPr>
                          <w:t>APP实现接单、执行任务、提交车辆产生费用、入库操作；在线申请维修、保养，在线申请请假、休假，打卡签到操作，实现任务导航功能等。</w:t>
                        </w:r>
                      </w:p>
                      <w:p>
                        <w:pPr>
                          <w:pStyle w:val="null3"/>
                          <w:jc w:val="both"/>
                        </w:pPr>
                        <w:r>
                          <w:rPr>
                            <w:rFonts w:ascii="宋体" w:hAnsi="宋体" w:cs="宋体" w:eastAsia="宋体"/>
                            <w:sz w:val="18"/>
                          </w:rPr>
                          <w:t>管理人员通过账号、口令</w:t>
                        </w:r>
                        <w:r>
                          <w:rPr>
                            <w:rFonts w:ascii="宋体" w:hAnsi="宋体" w:cs="宋体" w:eastAsia="宋体"/>
                            <w:sz w:val="18"/>
                          </w:rPr>
                          <w:t>登录</w:t>
                        </w:r>
                        <w:r>
                          <w:rPr>
                            <w:rFonts w:ascii="宋体" w:hAnsi="宋体" w:cs="宋体" w:eastAsia="宋体"/>
                            <w:sz w:val="18"/>
                          </w:rPr>
                          <w:t>，实现订单多级在线审批，车辆总体位置监控、单车任务跟踪、历史轨迹回放、费用核实、统计分析、调度日志查看。</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749"/>
                        <w:gridSpan w:val="5"/>
                        <w:tcBorders>
                          <w:top w:val="non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jc w:val="both"/>
                        </w:pPr>
                        <w:r>
                          <w:rPr>
                            <w:rFonts w:ascii="宋体" w:hAnsi="宋体" w:cs="宋体" w:eastAsia="宋体"/>
                            <w:sz w:val="18"/>
                            <w:b/>
                          </w:rPr>
                          <w:t>运行维护服务</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运维服务项目</w:t>
                        </w:r>
                      </w:p>
                    </w:tc>
                    <w:tc>
                      <w:tcPr>
                        <w:tcW w:type="dxa" w:w="184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要求指标或服务内容</w:t>
                        </w:r>
                      </w:p>
                    </w:tc>
                    <w:tc>
                      <w:tcPr>
                        <w:tcW w:type="dxa" w:w="2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数量</w:t>
                        </w:r>
                      </w:p>
                    </w:tc>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单位</w:t>
                        </w:r>
                      </w:p>
                    </w:tc>
                  </w:tr>
                  <w:tr>
                    <w:tc>
                      <w:tcPr>
                        <w:tcW w:type="dxa" w:w="4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宋体" w:hAnsi="宋体" w:cs="宋体" w:eastAsia="宋体"/>
                            <w:sz w:val="18"/>
                          </w:rPr>
                          <w:t>公务用车信息化管理服务平台维护费用</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宋体" w:hAnsi="宋体" w:cs="宋体" w:eastAsia="宋体"/>
                            <w:sz w:val="18"/>
                          </w:rPr>
                          <w:t>网络、服务器及数据日常运维</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宋体" w:hAnsi="宋体" w:cs="宋体" w:eastAsia="宋体"/>
                            <w:sz w:val="18"/>
                          </w:rPr>
                          <w:t>为防止网络安全攻击对服务器、网络、数据库进行日常维护以及可能如设备、人员操作不当引起的数据损失或设备问题，保障数据的完整性和可用性，对数据库采用实时的增量备份，并进行每日凌晨的定期全量备份，数据备份文件压缩后存放于当地环境，并做好访问权限防护，也用于必要的数据恢复</w:t>
                        </w:r>
                      </w:p>
                    </w:tc>
                    <w:tc>
                      <w:tcPr>
                        <w:tcW w:type="dxa" w:w="2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cambria" w:hAnsi="cambria" w:cs="cambria" w:eastAsia="cambria"/>
                            <w:sz w:val="18"/>
                          </w:rPr>
                          <w:t>574</w:t>
                        </w:r>
                      </w:p>
                    </w:tc>
                    <w:tc>
                      <w:tcPr>
                        <w:tcW w:type="dxa" w:w="22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宋体" w:hAnsi="宋体" w:cs="宋体" w:eastAsia="宋体"/>
                            <w:sz w:val="18"/>
                          </w:rPr>
                          <w:t>台</w:t>
                        </w:r>
                      </w:p>
                    </w:tc>
                  </w:tr>
                  <w:tr>
                    <w:tc>
                      <w:tcPr>
                        <w:tcW w:type="dxa" w:w="462"/>
                        <w:vMerge/>
                        <w:tcBorders>
                          <w:top w:val="none" w:color="000000" w:sz="4"/>
                          <w:left w:val="single" w:color="000000" w:sz="4"/>
                          <w:bottom w:val="single" w:color="000000" w:sz="4"/>
                          <w:right w:val="single" w:color="000000" w:sz="4"/>
                        </w:tcBorders>
                      </w:tcP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宋体" w:hAnsi="宋体" w:cs="宋体" w:eastAsia="宋体"/>
                            <w:sz w:val="18"/>
                          </w:rPr>
                          <w:t>系统安全管理</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宋体" w:hAnsi="宋体" w:cs="宋体" w:eastAsia="宋体"/>
                            <w:sz w:val="18"/>
                          </w:rPr>
                          <w:t>提供</w:t>
                        </w:r>
                        <w:r>
                          <w:rPr>
                            <w:rFonts w:ascii="宋体" w:hAnsi="宋体" w:cs="宋体" w:eastAsia="宋体"/>
                            <w:sz w:val="18"/>
                          </w:rPr>
                          <w:t>系统及服务器漏洞扫描与防护</w:t>
                        </w:r>
                        <w:r>
                          <w:rPr>
                            <w:rFonts w:ascii="宋体" w:hAnsi="宋体" w:cs="宋体" w:eastAsia="宋体"/>
                            <w:sz w:val="18"/>
                          </w:rPr>
                          <w:t>，</w:t>
                        </w:r>
                        <w:r>
                          <w:rPr>
                            <w:rFonts w:ascii="宋体" w:hAnsi="宋体" w:cs="宋体" w:eastAsia="宋体"/>
                            <w:sz w:val="18"/>
                          </w:rPr>
                          <w:t>并提供报告</w:t>
                        </w:r>
                      </w:p>
                    </w:tc>
                    <w:tc>
                      <w:tcPr>
                        <w:tcW w:type="dxa" w:w="213"/>
                        <w:vMerge/>
                        <w:tcBorders>
                          <w:top w:val="none" w:color="000000" w:sz="4"/>
                          <w:left w:val="single" w:color="000000" w:sz="4"/>
                          <w:bottom w:val="single" w:color="000000" w:sz="4"/>
                          <w:right w:val="single" w:color="000000" w:sz="4"/>
                        </w:tcBorders>
                      </w:tcPr>
                      <w:p/>
                    </w:tc>
                    <w:tc>
                      <w:tcPr>
                        <w:tcW w:type="dxa" w:w="226"/>
                        <w:vMerge/>
                        <w:tcBorders>
                          <w:top w:val="single" w:color="000000" w:sz="4"/>
                          <w:left w:val="single" w:color="000000" w:sz="4"/>
                          <w:bottom w:val="single" w:color="000000" w:sz="4"/>
                          <w:right w:val="single" w:color="000000" w:sz="4"/>
                        </w:tcBorders>
                      </w:tcPr>
                      <w:p/>
                    </w:tc>
                  </w:tr>
                  <w:tr>
                    <w:tc>
                      <w:tcPr>
                        <w:tcW w:type="dxa" w:w="462"/>
                        <w:vMerge/>
                        <w:tcBorders>
                          <w:top w:val="none" w:color="000000" w:sz="4"/>
                          <w:left w:val="single" w:color="000000" w:sz="4"/>
                          <w:bottom w:val="single" w:color="000000" w:sz="4"/>
                          <w:right w:val="single" w:color="000000" w:sz="4"/>
                        </w:tcBorders>
                      </w:tcP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center"/>
                        </w:pPr>
                        <w:r>
                          <w:rPr>
                            <w:rFonts w:ascii="宋体" w:hAnsi="宋体" w:cs="宋体" w:eastAsia="宋体"/>
                            <w:sz w:val="18"/>
                          </w:rPr>
                          <w:t>系统功能需求变更</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宋体" w:hAnsi="宋体" w:cs="宋体" w:eastAsia="宋体"/>
                            <w:sz w:val="18"/>
                          </w:rPr>
                          <w:t>在使用系统的过程中，针对公务用车管理服务特点，进行系统适配需求变更及系统升级。个性化需求专项开发</w:t>
                        </w:r>
                      </w:p>
                    </w:tc>
                    <w:tc>
                      <w:tcPr>
                        <w:tcW w:type="dxa" w:w="213"/>
                        <w:vMerge/>
                        <w:tcBorders>
                          <w:top w:val="none" w:color="000000" w:sz="4"/>
                          <w:left w:val="single" w:color="000000" w:sz="4"/>
                          <w:bottom w:val="single" w:color="000000" w:sz="4"/>
                          <w:right w:val="single" w:color="000000" w:sz="4"/>
                        </w:tcBorders>
                      </w:tcPr>
                      <w:p/>
                    </w:tc>
                    <w:tc>
                      <w:tcPr>
                        <w:tcW w:type="dxa" w:w="226"/>
                        <w:vMerge/>
                        <w:tcBorders>
                          <w:top w:val="single" w:color="000000" w:sz="4"/>
                          <w:left w:val="single" w:color="000000" w:sz="4"/>
                          <w:bottom w:val="single" w:color="000000" w:sz="4"/>
                          <w:right w:val="single" w:color="000000" w:sz="4"/>
                        </w:tcBorders>
                      </w:tcPr>
                      <w:p/>
                    </w:tc>
                  </w:tr>
                  <w:tr>
                    <w:tc>
                      <w:tcPr>
                        <w:tcW w:type="dxa" w:w="462"/>
                        <w:vMerge/>
                        <w:tcBorders>
                          <w:top w:val="none" w:color="000000" w:sz="4"/>
                          <w:left w:val="single" w:color="000000" w:sz="4"/>
                          <w:bottom w:val="single" w:color="000000" w:sz="4"/>
                          <w:right w:val="single" w:color="000000" w:sz="4"/>
                        </w:tcBorders>
                      </w:tcP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硬件设备维护</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宋体" w:hAnsi="宋体" w:cs="宋体" w:eastAsia="宋体"/>
                            <w:sz w:val="18"/>
                          </w:rPr>
                          <w:t>北斗</w:t>
                        </w:r>
                        <w:r>
                          <w:rPr>
                            <w:rFonts w:ascii="宋体" w:hAnsi="宋体" w:cs="宋体" w:eastAsia="宋体"/>
                            <w:sz w:val="18"/>
                          </w:rPr>
                          <w:t>定位终端</w:t>
                        </w:r>
                        <w:r>
                          <w:rPr>
                            <w:rFonts w:ascii="宋体" w:hAnsi="宋体" w:cs="宋体" w:eastAsia="宋体"/>
                            <w:sz w:val="18"/>
                          </w:rPr>
                          <w:t>拆除、改装、维修</w:t>
                        </w:r>
                        <w:r>
                          <w:rPr>
                            <w:rFonts w:ascii="宋体" w:hAnsi="宋体" w:cs="宋体" w:eastAsia="宋体"/>
                            <w:sz w:val="18"/>
                          </w:rPr>
                          <w:t>、定期巡检、维护保养、</w:t>
                        </w:r>
                        <w:r>
                          <w:rPr>
                            <w:rFonts w:ascii="宋体" w:hAnsi="宋体" w:cs="宋体" w:eastAsia="宋体"/>
                            <w:sz w:val="18"/>
                          </w:rPr>
                          <w:t>设备系统</w:t>
                        </w:r>
                        <w:r>
                          <w:rPr>
                            <w:rFonts w:ascii="宋体" w:hAnsi="宋体" w:cs="宋体" w:eastAsia="宋体"/>
                            <w:sz w:val="18"/>
                          </w:rPr>
                          <w:t>升级</w:t>
                        </w:r>
                      </w:p>
                    </w:tc>
                    <w:tc>
                      <w:tcPr>
                        <w:tcW w:type="dxa" w:w="213"/>
                        <w:vMerge/>
                        <w:tcBorders>
                          <w:top w:val="none" w:color="000000" w:sz="4"/>
                          <w:left w:val="single" w:color="000000" w:sz="4"/>
                          <w:bottom w:val="single" w:color="000000" w:sz="4"/>
                          <w:right w:val="single" w:color="000000" w:sz="4"/>
                        </w:tcBorders>
                      </w:tcPr>
                      <w:p/>
                    </w:tc>
                    <w:tc>
                      <w:tcPr>
                        <w:tcW w:type="dxa" w:w="226"/>
                        <w:vMerge/>
                        <w:tcBorders>
                          <w:top w:val="single" w:color="000000" w:sz="4"/>
                          <w:left w:val="single" w:color="000000" w:sz="4"/>
                          <w:bottom w:val="single" w:color="000000" w:sz="4"/>
                          <w:right w:val="single" w:color="000000" w:sz="4"/>
                        </w:tcBorders>
                      </w:tcPr>
                      <w:p/>
                    </w:tc>
                  </w:tr>
                  <w:tr>
                    <w:tc>
                      <w:tcPr>
                        <w:tcW w:type="dxa" w:w="462"/>
                        <w:vMerge/>
                        <w:tcBorders>
                          <w:top w:val="none" w:color="000000" w:sz="4"/>
                          <w:left w:val="single" w:color="000000" w:sz="4"/>
                          <w:bottom w:val="single" w:color="000000" w:sz="4"/>
                          <w:right w:val="single" w:color="000000" w:sz="4"/>
                        </w:tcBorders>
                      </w:tcP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软件系统各项功能现场培训</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宋体" w:hAnsi="宋体" w:cs="宋体" w:eastAsia="宋体"/>
                            <w:sz w:val="18"/>
                          </w:rPr>
                          <w:t>系统电脑端、</w:t>
                        </w:r>
                        <w:r>
                          <w:rPr>
                            <w:rFonts w:ascii="cambria" w:hAnsi="cambria" w:cs="cambria" w:eastAsia="cambria"/>
                            <w:sz w:val="18"/>
                          </w:rPr>
                          <w:t>APP</w:t>
                        </w:r>
                        <w:r>
                          <w:rPr>
                            <w:rFonts w:ascii="宋体" w:hAnsi="宋体" w:cs="宋体" w:eastAsia="宋体"/>
                            <w:sz w:val="18"/>
                          </w:rPr>
                          <w:t>端、小程序的不定期培训</w:t>
                        </w:r>
                      </w:p>
                    </w:tc>
                    <w:tc>
                      <w:tcPr>
                        <w:tcW w:type="dxa" w:w="213"/>
                        <w:vMerge/>
                        <w:tcBorders>
                          <w:top w:val="none" w:color="000000" w:sz="4"/>
                          <w:left w:val="single" w:color="000000" w:sz="4"/>
                          <w:bottom w:val="single" w:color="000000" w:sz="4"/>
                          <w:right w:val="single" w:color="000000" w:sz="4"/>
                        </w:tcBorders>
                      </w:tcPr>
                      <w:p/>
                    </w:tc>
                    <w:tc>
                      <w:tcPr>
                        <w:tcW w:type="dxa" w:w="226"/>
                        <w:vMerge/>
                        <w:tcBorders>
                          <w:top w:val="single" w:color="000000" w:sz="4"/>
                          <w:left w:val="single" w:color="000000" w:sz="4"/>
                          <w:bottom w:val="single" w:color="000000" w:sz="4"/>
                          <w:right w:val="single" w:color="000000" w:sz="4"/>
                        </w:tcBorders>
                      </w:tcPr>
                      <w:p/>
                    </w:tc>
                  </w:tr>
                  <w:tr>
                    <w:tc>
                      <w:tcPr>
                        <w:tcW w:type="dxa" w:w="462"/>
                        <w:vMerge/>
                        <w:tcBorders>
                          <w:top w:val="none" w:color="000000" w:sz="4"/>
                          <w:left w:val="single" w:color="000000" w:sz="4"/>
                          <w:bottom w:val="single" w:color="000000" w:sz="4"/>
                          <w:right w:val="single" w:color="000000" w:sz="4"/>
                        </w:tcBorders>
                      </w:tcP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服务台远程运维服务</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宋体" w:hAnsi="宋体" w:cs="宋体" w:eastAsia="宋体"/>
                            <w:sz w:val="18"/>
                          </w:rPr>
                          <w:t>提供手机、微信群、微信等多种渠道的售后服务，为各使用单位提供</w:t>
                        </w:r>
                        <w:r>
                          <w:rPr>
                            <w:rFonts w:ascii="cambria" w:hAnsi="cambria" w:cs="cambria" w:eastAsia="cambria"/>
                            <w:sz w:val="18"/>
                          </w:rPr>
                          <w:t>7</w:t>
                        </w:r>
                        <w:r>
                          <w:rPr>
                            <w:rFonts w:ascii="宋体" w:hAnsi="宋体" w:cs="宋体" w:eastAsia="宋体"/>
                            <w:sz w:val="18"/>
                          </w:rPr>
                          <w:t>×</w:t>
                        </w:r>
                        <w:r>
                          <w:rPr>
                            <w:rFonts w:ascii="cambria" w:hAnsi="cambria" w:cs="cambria" w:eastAsia="cambria"/>
                            <w:sz w:val="18"/>
                          </w:rPr>
                          <w:t>24</w:t>
                        </w:r>
                        <w:r>
                          <w:rPr>
                            <w:rFonts w:ascii="宋体" w:hAnsi="宋体" w:cs="宋体" w:eastAsia="宋体"/>
                            <w:sz w:val="18"/>
                          </w:rPr>
                          <w:t>小时服务。</w:t>
                        </w:r>
                      </w:p>
                    </w:tc>
                    <w:tc>
                      <w:tcPr>
                        <w:tcW w:type="dxa" w:w="213"/>
                        <w:vMerge/>
                        <w:tcBorders>
                          <w:top w:val="none" w:color="000000" w:sz="4"/>
                          <w:left w:val="single" w:color="000000" w:sz="4"/>
                          <w:bottom w:val="single" w:color="000000" w:sz="4"/>
                          <w:right w:val="single" w:color="000000" w:sz="4"/>
                        </w:tcBorders>
                      </w:tcPr>
                      <w:p/>
                    </w:tc>
                    <w:tc>
                      <w:tcPr>
                        <w:tcW w:type="dxa" w:w="226"/>
                        <w:vMerge/>
                        <w:tcBorders>
                          <w:top w:val="single" w:color="000000" w:sz="4"/>
                          <w:left w:val="single" w:color="000000" w:sz="4"/>
                          <w:bottom w:val="single" w:color="000000" w:sz="4"/>
                          <w:right w:val="single" w:color="000000" w:sz="4"/>
                        </w:tcBorders>
                      </w:tc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18"/>
                          </w:rPr>
                          <w:t>SIM</w:t>
                        </w:r>
                        <w:r>
                          <w:rPr>
                            <w:rFonts w:ascii="宋体" w:hAnsi="宋体" w:cs="宋体" w:eastAsia="宋体"/>
                            <w:sz w:val="18"/>
                          </w:rPr>
                          <w:t>卡流量费</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物联网</w:t>
                        </w:r>
                        <w:r>
                          <w:rPr>
                            <w:rFonts w:ascii="times new roman, times, serif" w:hAnsi="times new roman, times, serif" w:cs="times new roman, times, serif" w:eastAsia="times new roman, times, serif"/>
                            <w:sz w:val="18"/>
                          </w:rPr>
                          <w:t>SIM</w:t>
                        </w:r>
                        <w:r>
                          <w:rPr>
                            <w:rFonts w:ascii="宋体" w:hAnsi="宋体" w:cs="宋体" w:eastAsia="宋体"/>
                            <w:sz w:val="18"/>
                          </w:rPr>
                          <w:t>卡流量费</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宋体" w:hAnsi="宋体" w:cs="宋体" w:eastAsia="宋体"/>
                            <w:sz w:val="18"/>
                          </w:rPr>
                          <w:t>物联网卡移动数据通讯及流量费，用于车辆定位监控系统、设备远程升级维护所有数据通讯</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cambria" w:hAnsi="cambria" w:cs="cambria" w:eastAsia="cambria"/>
                            <w:sz w:val="18"/>
                          </w:rPr>
                          <w:t>574</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宋体" w:hAnsi="宋体" w:cs="宋体" w:eastAsia="宋体"/>
                            <w:sz w:val="18"/>
                          </w:rPr>
                          <w:t>台</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平台短信服务费</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平台短信服务费</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cambria" w:hAnsi="cambria" w:cs="cambria" w:eastAsia="cambria"/>
                            <w:sz w:val="18"/>
                          </w:rPr>
                          <w:t>10690</w:t>
                        </w:r>
                        <w:r>
                          <w:rPr>
                            <w:rFonts w:ascii="宋体" w:hAnsi="宋体" w:cs="宋体" w:eastAsia="宋体"/>
                            <w:sz w:val="18"/>
                          </w:rPr>
                          <w:t>专用通道短信费；用于平台系统所有用车申请、审核、调度等短信通知，会议培训通知及相关报警事件触发提醒通知等。</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cambria" w:hAnsi="cambria" w:cs="cambria" w:eastAsia="cambria"/>
                            <w:sz w:val="18"/>
                          </w:rPr>
                          <w:t>1</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宋体" w:hAnsi="宋体" w:cs="宋体" w:eastAsia="宋体"/>
                            <w:sz w:val="18"/>
                          </w:rPr>
                          <w:t>年</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平台云资源服务费</w:t>
                        </w:r>
                      </w:p>
                    </w:tc>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平台云资源服务费</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云服务器租赁：包括信息安全防护、防火墙、云服务主机、存储、网络带宽和数据灾备服务。</w:t>
                        </w:r>
                      </w:p>
                    </w:tc>
                    <w:tc>
                      <w:tcPr>
                        <w:tcW w:type="dxa" w:w="2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cambria" w:hAnsi="cambria" w:cs="cambria" w:eastAsia="cambria"/>
                            <w:sz w:val="18"/>
                          </w:rPr>
                          <w:t>1</w:t>
                        </w:r>
                      </w:p>
                    </w:tc>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宋体" w:hAnsi="宋体" w:cs="宋体" w:eastAsia="宋体"/>
                            <w:sz w:val="18"/>
                          </w:rPr>
                          <w:t>年</w:t>
                        </w:r>
                      </w:p>
                    </w:tc>
                  </w:tr>
                </w:tbl>
                <w:p>
                  <w:pPr>
                    <w:pStyle w:val="null3"/>
                    <w:jc w:val="both"/>
                  </w:pPr>
                </w:p>
              </w:tc>
            </w:tr>
          </w:tbl>
          <w:p/>
        </w:tc>
      </w:tr>
    </w:tbl>
    <w:p>
      <w:pPr>
        <w:pStyle w:val="null3"/>
        <w:outlineLvl w:val="3"/>
      </w:pPr>
      <w:r>
        <w:rPr>
          <w:sz w:val="24"/>
          <w:b/>
        </w:rPr>
        <w:t>3.2.3人员配置要求</w:t>
      </w:r>
    </w:p>
    <w:p>
      <w:pPr>
        <w:pStyle w:val="null3"/>
      </w:pPr>
      <w:r>
        <w:rPr/>
        <w:t>采购包1：</w:t>
      </w:r>
    </w:p>
    <w:p>
      <w:pPr>
        <w:pStyle w:val="null3"/>
      </w:pPr>
      <w:r>
        <w:rPr/>
        <w:t>/</w:t>
      </w:r>
    </w:p>
    <w:p>
      <w:pPr>
        <w:pStyle w:val="null3"/>
        <w:outlineLvl w:val="3"/>
      </w:pPr>
      <w:r>
        <w:rPr>
          <w:sz w:val="24"/>
          <w:b/>
        </w:rPr>
        <w:t>3.2.4设施设备要求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自合同签订之日起壹年，本项目采取一次招标叁年延用、实行壹年一考核、一签合同的办法(壹年合同期满后，无重大失误且能够满足服务需求，按照“《政府购买服务管理办法》（财政部令第 102 号）第二十四条：政府购买服务合同履行期限一般不超过 1 年；在预算保障的前提下，对于购买内容相对固定、连续性强、经费来源稳定、价格变化幅度小的政府购买服务项目，可以签订履行期限不超过 3 年的政府购买服务合同”的规定，合同可续签贰年，每年期满后，采购人根据当年运维报告和结算清单据实结算运维费用，与中标人续签下壹年合同，但中标单价不予调整)。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3.3.3支付方式</w:t>
      </w:r>
    </w:p>
    <w:p>
      <w:pPr>
        <w:pStyle w:val="null3"/>
      </w:pPr>
      <w:r>
        <w:rPr/>
        <w:t>采购包1：</w:t>
      </w:r>
    </w:p>
    <w:p>
      <w:pPr>
        <w:pStyle w:val="null3"/>
      </w:pPr>
      <w:r>
        <w:rPr/>
        <w:t>一次付清</w:t>
      </w:r>
    </w:p>
    <w:p>
      <w:pPr>
        <w:pStyle w:val="null3"/>
        <w:outlineLvl w:val="3"/>
      </w:pPr>
      <w:r>
        <w:rPr>
          <w:sz w:val="24"/>
          <w:b/>
        </w:rPr>
        <w:t>3.3.4支付约定</w:t>
      </w:r>
    </w:p>
    <w:p>
      <w:pPr>
        <w:pStyle w:val="null3"/>
      </w:pPr>
      <w:r>
        <w:rPr/>
        <w:t>采购包1：</w:t>
      </w:r>
      <w:r>
        <w:rPr/>
        <w:t xml:space="preserve"> 付款条件说明： </w:t>
      </w:r>
      <w:r>
        <w:rPr/>
        <w:t xml:space="preserve">合同签订生效后10个工作日内，甲方向乙方转账支付合同价款,后期乙方按照甲方要求，提供运维报告以及结算清单等资料。 </w:t>
      </w:r>
      <w:r>
        <w:rPr/>
        <w:t xml:space="preserve"> ，达到付款条件起 </w:t>
      </w:r>
      <w:r>
        <w:rPr/>
        <w:t>10</w:t>
      </w:r>
      <w:r>
        <w:rPr/>
        <w:t xml:space="preserve"> 日内，支付合同总金额的 </w:t>
      </w:r>
      <w:r>
        <w:rPr/>
        <w:t>100.00</w:t>
      </w:r>
      <w:r>
        <w:rPr/>
        <w:t>%。</w:t>
      </w:r>
    </w:p>
    <w:p>
      <w:pPr>
        <w:pStyle w:val="null3"/>
        <w:outlineLvl w:val="3"/>
      </w:pPr>
      <w:r>
        <w:rPr>
          <w:sz w:val="24"/>
          <w:b/>
        </w:rPr>
        <w:t>3.3.5.验收标准和方法</w:t>
      </w:r>
    </w:p>
    <w:p>
      <w:pPr>
        <w:pStyle w:val="null3"/>
      </w:pPr>
      <w:r>
        <w:rPr/>
        <w:t>采购包1：</w:t>
      </w:r>
    </w:p>
    <w:p>
      <w:pPr>
        <w:pStyle w:val="null3"/>
      </w:pPr>
      <w:r>
        <w:rPr/>
        <w:t>按照甲方要求</w:t>
      </w:r>
    </w:p>
    <w:p>
      <w:pPr>
        <w:pStyle w:val="null3"/>
        <w:outlineLvl w:val="3"/>
      </w:pPr>
      <w:r>
        <w:rPr>
          <w:sz w:val="24"/>
          <w:b/>
        </w:rPr>
        <w:t>3.3.6违约责任及解决争议的方法</w:t>
      </w:r>
    </w:p>
    <w:p>
      <w:pPr>
        <w:pStyle w:val="null3"/>
      </w:pPr>
      <w:r>
        <w:rPr/>
        <w:t>采购包1：</w:t>
      </w:r>
    </w:p>
    <w:p>
      <w:pPr>
        <w:pStyle w:val="null3"/>
      </w:pPr>
      <w:r>
        <w:rPr/>
        <w:t xml:space="preserve"> 本合同未尽事宜，双方以友好协商的原则妥善解决，如双方因质量、技术问题的争议，可向长安区人民法院诉讼。</w:t>
      </w:r>
    </w:p>
    <w:p>
      <w:pPr>
        <w:pStyle w:val="null3"/>
        <w:outlineLvl w:val="2"/>
      </w:pPr>
      <w:r>
        <w:rPr>
          <w:sz w:val="28"/>
          <w:b/>
        </w:rPr>
        <w:t>3.4其他要求</w:t>
      </w:r>
    </w:p>
    <w:p>
      <w:pPr>
        <w:pStyle w:val="null3"/>
      </w:pPr>
      <w:r>
        <w:rPr/>
        <w:t>采购包1：</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提供承诺书</w:t>
            </w:r>
          </w:p>
        </w:tc>
        <w:tc>
          <w:tcPr>
            <w:tcW w:type="dxa" w:w="1661"/>
          </w:tcPr>
          <w:p>
            <w:pPr>
              <w:pStyle w:val="null3"/>
            </w:pPr>
            <w:r>
              <w:rPr/>
              <w:t>供应商应提交的相关资格证明材料 投标响应文件参考格式</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（1）供应商具有独立承担民事责任能力的法人、其他组织或自然人，并出具合法有效的营业执照或事业单位法人证书等国家规定的相关证明，自然人参与的提供其身份证明； （2）提供具有履行合同所必需的设备和专业技术能力的承诺函； （3）供应商应授权合法的人员参加谈判全过程，其中法定代表人/负责人直接谈判，须提交法定代表人/负责人身份证明书和身份证。法定代表人/负责人授权代表参加谈判的，须出具法定代表人/负责人授权书及授权代表身份证； （4）本项目为专门面向中小企业采购，供应商应提供中小企业声明函。</w:t>
            </w:r>
          </w:p>
        </w:tc>
        <w:tc>
          <w:tcPr>
            <w:tcW w:type="dxa" w:w="3322"/>
          </w:tcPr>
          <w:p>
            <w:pPr>
              <w:pStyle w:val="null3"/>
            </w:pPr>
            <w:r>
              <w:rPr/>
              <w:t>追条响应</w:t>
            </w:r>
          </w:p>
        </w:tc>
        <w:tc>
          <w:tcPr>
            <w:tcW w:type="dxa" w:w="1661"/>
          </w:tcPr>
          <w:p>
            <w:pPr>
              <w:pStyle w:val="null3"/>
            </w:pPr>
            <w:r>
              <w:rPr/>
              <w:t>响应文件封面 服务内容及服务邀请应答表 中小企业声明函 商务应答表 供应商应提交的相关资格证明材料 标的清单 报价表 响应函 投标响应文件参考格式</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只能有一个有效报价，不得提交选择性报价，且报价不超过第二章“供应商须知”前附表规定的采购预算金额或最高限价</w:t>
            </w:r>
          </w:p>
        </w:tc>
        <w:tc>
          <w:tcPr>
            <w:tcW w:type="dxa" w:w="1661"/>
          </w:tcPr>
          <w:p>
            <w:pPr>
              <w:pStyle w:val="null3"/>
            </w:pPr>
            <w:r>
              <w:rPr/>
              <w:t>报价表</w:t>
            </w:r>
          </w:p>
        </w:tc>
      </w:tr>
      <w:tr>
        <w:tc>
          <w:tcPr>
            <w:tcW w:type="dxa" w:w="831"/>
          </w:tcPr>
          <w:p>
            <w:pPr>
              <w:pStyle w:val="null3"/>
            </w:pPr>
            <w:r>
              <w:rPr/>
              <w:t>5</w:t>
            </w:r>
          </w:p>
        </w:tc>
        <w:tc>
          <w:tcPr>
            <w:tcW w:type="dxa" w:w="2492"/>
          </w:tcPr>
          <w:p>
            <w:pPr>
              <w:pStyle w:val="null3"/>
            </w:pPr>
            <w:r>
              <w:rPr/>
              <w:t>服务期限、地点</w:t>
            </w:r>
          </w:p>
        </w:tc>
        <w:tc>
          <w:tcPr>
            <w:tcW w:type="dxa" w:w="3322"/>
          </w:tcPr>
          <w:p>
            <w:pPr>
              <w:pStyle w:val="null3"/>
            </w:pPr>
            <w:r>
              <w:rPr/>
              <w:t>满足文件要求(合格) 时间</w:t>
            </w:r>
          </w:p>
        </w:tc>
        <w:tc>
          <w:tcPr>
            <w:tcW w:type="dxa" w:w="1661"/>
          </w:tcPr>
          <w:p>
            <w:pPr>
              <w:pStyle w:val="null3"/>
            </w:pPr>
            <w:r>
              <w:rPr/>
              <w:t>商务应答表</w:t>
            </w:r>
          </w:p>
        </w:tc>
      </w:tr>
      <w:tr>
        <w:tc>
          <w:tcPr>
            <w:tcW w:type="dxa" w:w="831"/>
          </w:tcPr>
          <w:p>
            <w:pPr>
              <w:pStyle w:val="null3"/>
            </w:pPr>
            <w:r>
              <w:rPr/>
              <w:t>6</w:t>
            </w:r>
          </w:p>
        </w:tc>
        <w:tc>
          <w:tcPr>
            <w:tcW w:type="dxa" w:w="2492"/>
          </w:tcPr>
          <w:p>
            <w:pPr>
              <w:pStyle w:val="null3"/>
            </w:pPr>
            <w:r>
              <w:rPr/>
              <w:t>响应文件含有采购人不能接受的附加条件的或其他情形</w:t>
            </w:r>
          </w:p>
        </w:tc>
        <w:tc>
          <w:tcPr>
            <w:tcW w:type="dxa" w:w="3322"/>
          </w:tcPr>
          <w:p>
            <w:pPr>
              <w:pStyle w:val="null3"/>
            </w:pPr>
            <w:r>
              <w:rPr/>
              <w:t>响应文件中含有采购人不能接受的附加条件的或其他情形（不合格）</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付款时间、付款额度及付款方式</w:t>
            </w:r>
          </w:p>
        </w:tc>
        <w:tc>
          <w:tcPr>
            <w:tcW w:type="dxa" w:w="3322"/>
          </w:tcPr>
          <w:p>
            <w:pPr>
              <w:pStyle w:val="null3"/>
            </w:pPr>
            <w:r>
              <w:rPr/>
              <w:t>满足文件要求(合格)</w:t>
            </w:r>
          </w:p>
        </w:tc>
        <w:tc>
          <w:tcPr>
            <w:tcW w:type="dxa" w:w="1661"/>
          </w:tcPr>
          <w:p>
            <w:pPr>
              <w:pStyle w:val="null3"/>
            </w:pPr>
            <w:r>
              <w:rPr/>
              <w:t>商务应答表</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详见附件：中小企业声明函</w:t>
      </w:r>
    </w:p>
    <w:p>
      <w:pPr>
        <w:pStyle w:val="null3"/>
        <w:ind w:firstLine="960"/>
      </w:pPr>
      <w:r>
        <w:rPr/>
        <w:t>详见附件：投标响应文件参考格式</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