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版本号：FHGJ-ZZ-2025-03020250410001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2024年第二批市级水利发展建设专项资金西安市临潼区南韩村应急农村供水工程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FHGJ-ZZ-2025-030</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2024年第二批市级水利发展建设专项资金西安市临潼区南韩村应急农村供水工程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FHGJ-ZZ-2025-030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2024年第二批市级水利发展建设专项资金西安市临潼区南韩村应急农村供水工程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第二批市级水利发展建设专项资金西安市临潼区南韩村应急农村供水工程采购内容:新打机井1眼，配套水泵1台，铺设Φ63PE管道30米；主要功能或目标:保障项目区2711人的饮水安全；需满足的要求:保障项目区群众饮水安全，提升健康水平，改善人居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采购包1（2024年第二批市级水利发展建设专项资金西安市临 潼区南韩村应急农村供水工程）：属于专门面向中小企业采购。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2、企业资质：供应商具备水利水电工程施工总承包三级以上(含三级)资质，具有有效的安全生产许可证；</w:t>
      </w:r>
    </w:p>
    <w:p>
      <w:pPr>
        <w:pStyle w:val="null3"/>
      </w:pPr>
      <w:r>
        <w:rPr>
          <w:rFonts w:ascii="仿宋_GB2312" w:hAnsi="仿宋_GB2312" w:cs="仿宋_GB2312" w:eastAsia="仿宋_GB2312"/>
        </w:rPr>
        <w:t>3、项目经理：拟派项目经理须具有水利水电工程专业二级及以上注册建造师证书和行政主管部门颁发的安全生产考核合格证（B 证）且无在建工程；</w:t>
      </w:r>
    </w:p>
    <w:p>
      <w:pPr>
        <w:pStyle w:val="null3"/>
      </w:pPr>
      <w:r>
        <w:rPr>
          <w:rFonts w:ascii="仿宋_GB2312" w:hAnsi="仿宋_GB2312" w:cs="仿宋_GB2312" w:eastAsia="仿宋_GB2312"/>
        </w:rPr>
        <w:t>4、信用记录：经查询，供应商未被列入“信用中国”网站记录的“失信被执行人”或“重大税收违法案件当事人”名单；不处于“中国政府采购网”记录的“政府采购严重违法失信行为记录名单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5、供应商关联关系声明：供应商不得存在下列情形之一： 单位负责人为同一人或者存在直接控股、管理关系的不同供应商，不得参加本次采购活动；为本项目提供整体设计、规范编制或者项目管理、监理、检测等服务的供应商，不得再参加该采购项目的其他采购活动；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13679135513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15109299905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采购包1：729,135.91元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729,135.91</w:t>
      </w:r>
    </w:p>
    <w:p>
      <w:pPr>
        <w:pStyle w:val="null3"/>
      </w:pPr>
      <w:r>
        <w:rPr>
          <w:rFonts w:ascii="仿宋_GB2312" w:hAnsi="仿宋_GB2312" w:cs="仿宋_GB2312" w:eastAsia="仿宋_GB2312"/>
        </w:rPr>
        <w:t>采购包最高限价（元）: 729,135.91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2024年第二批市级水利发展建设专项资金西安市临潼区南韩村应急农村供水工程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729,135.91</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标的名称：2024年第二批市级水利发展建设专项资金西安市临潼区南韩村应急农村供水工程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jc w:val="both"/>
            </w:pPr>
            <w:r>
              <w:rPr>
                <w:rFonts w:ascii="仿宋_GB2312" w:hAnsi="仿宋_GB2312" w:cs="仿宋_GB2312" w:eastAsia="仿宋_GB2312"/>
                <w:sz w:val="20"/>
                <w:color w:val="000000"/>
              </w:rPr>
              <w:t>西安市临潼区铁炉街道南韩村应急水源井工程位于西安市临潼区。主要施工内容为新打打井</w:t>
            </w:r>
            <w:r>
              <w:rPr>
                <w:rFonts w:ascii="仿宋_GB2312" w:hAnsi="仿宋_GB2312" w:cs="仿宋_GB2312" w:eastAsia="仿宋_GB2312"/>
                <w:sz w:val="20"/>
                <w:color w:val="000000"/>
              </w:rPr>
              <w:t>1眼，井深350m，φ63PE管-1.0Mpa管道安装30m。施工方法包括：松散层钻孔、钢管管井安装、泥浆池废料外运（运距3km）、土方回填、井台、机械挖管沟、管沟夯填土（电夯）、φ63PE管-1.0Mpa管道铺设、砼路面切割（厚度20cm）、砼切割外运（运距500m）、C20商品砼路面恢复（厚度20cm）、200QJ10-295/19型潜水泵（含泵管、电缆、控制柜等）及施工临时工程</w:t>
            </w:r>
            <w:r>
              <w:rPr>
                <w:rFonts w:ascii="仿宋_GB2312" w:hAnsi="仿宋_GB2312" w:cs="仿宋_GB2312" w:eastAsia="仿宋_GB2312"/>
                <w:sz w:val="20"/>
                <w:color w:val="000000"/>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二、主要建设内容和施工地点、计划工期、缺陷责任期、质量保修期</w:t>
            </w:r>
          </w:p>
        </w:tc>
        <w:tc>
          <w:tcPr>
            <w:tcW w:type="dxa" w:w="2076"/>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主要建设</w:t>
            </w:r>
            <w:r>
              <w:rPr>
                <w:rFonts w:ascii="仿宋_GB2312" w:hAnsi="仿宋_GB2312" w:cs="仿宋_GB2312" w:eastAsia="仿宋_GB2312"/>
                <w:sz w:val="20"/>
              </w:rPr>
              <w:t>内容</w:t>
            </w:r>
            <w:r>
              <w:rPr>
                <w:rFonts w:ascii="仿宋_GB2312" w:hAnsi="仿宋_GB2312" w:cs="仿宋_GB2312" w:eastAsia="仿宋_GB2312"/>
                <w:sz w:val="20"/>
              </w:rPr>
              <w:t>：</w:t>
            </w:r>
            <w:r>
              <w:rPr>
                <w:rFonts w:ascii="仿宋_GB2312" w:hAnsi="仿宋_GB2312" w:cs="仿宋_GB2312" w:eastAsia="仿宋_GB2312"/>
                <w:sz w:val="20"/>
              </w:rPr>
              <w:t>新打水源井</w:t>
            </w:r>
            <w:r>
              <w:rPr>
                <w:rFonts w:ascii="仿宋_GB2312" w:hAnsi="仿宋_GB2312" w:cs="仿宋_GB2312" w:eastAsia="仿宋_GB2312"/>
                <w:sz w:val="20"/>
              </w:rPr>
              <w:t>1眼，井深350m，配套 200QJ10-295/1923潜水泵1台（最终泵型由成井后抽水试验确定），铺设Φ63PE管道30m连接至管理站内蓄水池。</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二）施工地点：西安市临潼区</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（三）计划工期：</w:t>
            </w:r>
            <w:r>
              <w:rPr>
                <w:rFonts w:ascii="仿宋_GB2312" w:hAnsi="仿宋_GB2312" w:cs="仿宋_GB2312" w:eastAsia="仿宋_GB2312"/>
                <w:sz w:val="20"/>
              </w:rPr>
              <w:t>30日历天</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缺陷责任期（与质保金的退还有关）</w:t>
            </w:r>
            <w:r>
              <w:rPr>
                <w:rFonts w:ascii="仿宋_GB2312" w:hAnsi="仿宋_GB2312" w:cs="仿宋_GB2312" w:eastAsia="仿宋_GB2312"/>
                <w:sz w:val="20"/>
              </w:rPr>
              <w:t>：见《建设工程质量保证金管理暂行办法》，一般不超过</w:t>
            </w:r>
            <w:r>
              <w:rPr>
                <w:rFonts w:ascii="仿宋_GB2312" w:hAnsi="仿宋_GB2312" w:cs="仿宋_GB2312" w:eastAsia="仿宋_GB2312"/>
                <w:sz w:val="20"/>
              </w:rPr>
              <w:t>2 年。</w:t>
            </w:r>
          </w:p>
          <w:p>
            <w:pPr>
              <w:pStyle w:val="null3"/>
              <w:jc w:val="both"/>
            </w:pPr>
            <w:r>
              <w:rPr>
                <w:rFonts w:ascii="仿宋_GB2312" w:hAnsi="仿宋_GB2312" w:cs="仿宋_GB2312" w:eastAsia="仿宋_GB2312"/>
                <w:sz w:val="20"/>
              </w:rPr>
              <w:t>（五）质量保修期（与质保金的退还无关）：见《建设工程质量管理条例》。</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三、工程量清单和计价依据</w:t>
            </w:r>
          </w:p>
        </w:tc>
        <w:tc>
          <w:tcPr>
            <w:tcW w:type="dxa" w:w="2076"/>
          </w:tcPr>
          <w:p>
            <w:pPr>
              <w:pStyle w:val="null3"/>
              <w:jc w:val="both"/>
            </w:pPr>
            <w:r>
              <w:rPr>
                <w:rFonts w:ascii="仿宋_GB2312" w:hAnsi="仿宋_GB2312" w:cs="仿宋_GB2312" w:eastAsia="仿宋_GB2312"/>
                <w:sz w:val="20"/>
                <w:b/>
                <w:color w:val="000000"/>
              </w:rPr>
              <w:t>（一）计价依据：</w:t>
            </w:r>
          </w:p>
          <w:p>
            <w:pPr>
              <w:pStyle w:val="null3"/>
              <w:jc w:val="both"/>
            </w:pPr>
            <w:r>
              <w:rPr>
                <w:rFonts w:ascii="仿宋_GB2312" w:hAnsi="仿宋_GB2312" w:cs="仿宋_GB2312" w:eastAsia="仿宋_GB2312"/>
                <w:sz w:val="20"/>
                <w:color w:val="000000"/>
              </w:rPr>
              <w:t>1、2024年07月国兴同盛工程设计有限公司《西安市临潼区铁炉街道南韩村应急水源井工程实施方案》进行编制；</w:t>
            </w:r>
          </w:p>
          <w:p>
            <w:pPr>
              <w:pStyle w:val="null3"/>
              <w:jc w:val="both"/>
            </w:pPr>
            <w:r>
              <w:rPr>
                <w:rFonts w:ascii="仿宋_GB2312" w:hAnsi="仿宋_GB2312" w:cs="仿宋_GB2312" w:eastAsia="仿宋_GB2312"/>
                <w:sz w:val="20"/>
                <w:color w:val="000000"/>
              </w:rPr>
              <w:t xml:space="preserve">2、2024年07月国兴同盛工程设计有限公司《西安市临潼区铁炉街道南韩村应急水源井工程设计概算》进行编制；               </w:t>
            </w:r>
          </w:p>
          <w:p>
            <w:pPr>
              <w:pStyle w:val="null3"/>
              <w:jc w:val="both"/>
            </w:pPr>
            <w:r>
              <w:rPr>
                <w:rFonts w:ascii="仿宋_GB2312" w:hAnsi="仿宋_GB2312" w:cs="仿宋_GB2312" w:eastAsia="仿宋_GB2312"/>
                <w:sz w:val="20"/>
                <w:color w:val="000000"/>
              </w:rPr>
              <w:t>3、清单编制依据《水利工程工程量清单计价规范》（GB50501-2007）及其配套文件中工程量计算办法；</w:t>
            </w:r>
          </w:p>
          <w:p>
            <w:pPr>
              <w:pStyle w:val="null3"/>
              <w:jc w:val="both"/>
            </w:pPr>
            <w:r>
              <w:rPr>
                <w:rFonts w:ascii="仿宋_GB2312" w:hAnsi="仿宋_GB2312" w:cs="仿宋_GB2312" w:eastAsia="仿宋_GB2312"/>
                <w:sz w:val="20"/>
                <w:color w:val="000000"/>
              </w:rPr>
              <w:t>4、依据正常的施工组织设计及施工方法；</w:t>
            </w:r>
          </w:p>
          <w:p>
            <w:pPr>
              <w:pStyle w:val="null3"/>
              <w:jc w:val="both"/>
            </w:pPr>
            <w:r>
              <w:rPr>
                <w:rFonts w:ascii="仿宋_GB2312" w:hAnsi="仿宋_GB2312" w:cs="仿宋_GB2312" w:eastAsia="仿宋_GB2312"/>
                <w:sz w:val="20"/>
                <w:color w:val="000000"/>
              </w:rPr>
              <w:t>5、图纸设计中采用的相关施工规范、标准图集及验收规范。</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（二）工程量清单：</w:t>
            </w:r>
            <w:r>
              <w:rPr>
                <w:rFonts w:ascii="仿宋_GB2312" w:hAnsi="仿宋_GB2312" w:cs="仿宋_GB2312" w:eastAsia="仿宋_GB2312"/>
                <w:sz w:val="20"/>
                <w:color w:val="000000"/>
              </w:rPr>
              <w:t>详见工程量清单</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四、施工要求</w:t>
            </w:r>
          </w:p>
        </w:tc>
        <w:tc>
          <w:tcPr>
            <w:tcW w:type="dxa" w:w="2076"/>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1）所有施工和材料所涉及的标准规范（如产品标准/规范、工程标准/规范、验收标准/规范等）须完全符合所有中华人民共和国的标准及规范。</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2）在施工期间，中标供应商必须注意人员安全，加强安全措施，并对施工人员进行安全教育。施工人员必须持证上岗。</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五、商务要求（如合同价款及结算方式等）</w:t>
            </w:r>
          </w:p>
        </w:tc>
        <w:tc>
          <w:tcPr>
            <w:tcW w:type="dxa" w:w="2076"/>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1）待资金到位后，发包人以承包人的工程进度情况支付工程进度款；进度款支付至合同总金额的80%时暂停支付。</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2）项目完工后，工程竣工验收合格，承包人提供决算资料进行评审，评审结束后，发包人按照决算评审价，资金到位后支付至审定价的97%。</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3）剩余3%作为质保金，质量保修期结束后一次性支付</w:t>
            </w:r>
            <w:r>
              <w:rPr>
                <w:rFonts w:ascii="仿宋_GB2312" w:hAnsi="仿宋_GB2312" w:cs="仿宋_GB2312" w:eastAsia="仿宋_GB2312"/>
                <w:sz w:val="20"/>
                <w:color w:val="000000"/>
              </w:rPr>
              <w:t>。</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六、其他</w:t>
            </w:r>
          </w:p>
        </w:tc>
        <w:tc>
          <w:tcPr>
            <w:tcW w:type="dxa" w:w="2076"/>
          </w:tcPr>
          <w:p>
            <w:pPr>
              <w:pStyle w:val="null3"/>
              <w:jc w:val="left"/>
            </w:pPr>
            <w:r>
              <w:rPr>
                <w:rFonts w:ascii="仿宋_GB2312" w:hAnsi="仿宋_GB2312" w:cs="仿宋_GB2312" w:eastAsia="仿宋_GB2312"/>
              </w:rPr>
              <w:t xml:space="preserve"> </w:t>
            </w:r>
          </w:p>
          <w:p>
            <w:pPr>
              <w:pStyle w:val="null3"/>
              <w:spacing w:before="30"/>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）质量验收标准或规范</w:t>
            </w:r>
          </w:p>
          <w:p>
            <w:pPr>
              <w:pStyle w:val="null3"/>
              <w:spacing w:before="30"/>
              <w:jc w:val="left"/>
            </w:pPr>
            <w:r>
              <w:rPr>
                <w:rFonts w:ascii="仿宋_GB2312" w:hAnsi="仿宋_GB2312" w:cs="仿宋_GB2312" w:eastAsia="仿宋_GB2312"/>
                <w:sz w:val="20"/>
                <w:color w:val="000000"/>
              </w:rPr>
              <w:t>符合国家现行有关施工质量验收规范</w:t>
            </w:r>
            <w:r>
              <w:rPr>
                <w:rFonts w:ascii="仿宋_GB2312" w:hAnsi="仿宋_GB2312" w:cs="仿宋_GB2312" w:eastAsia="仿宋_GB2312"/>
                <w:sz w:val="20"/>
                <w:color w:val="000000"/>
              </w:rPr>
              <w:t>“合格”要求。</w:t>
            </w:r>
          </w:p>
          <w:p>
            <w:pPr>
              <w:pStyle w:val="null3"/>
              <w:spacing w:before="30"/>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）违约责任</w:t>
            </w:r>
          </w:p>
          <w:p>
            <w:pPr>
              <w:pStyle w:val="null3"/>
              <w:jc w:val="left"/>
            </w:pPr>
            <w:r>
              <w:rPr>
                <w:rFonts w:ascii="仿宋_GB2312" w:hAnsi="仿宋_GB2312" w:cs="仿宋_GB2312" w:eastAsia="仿宋_GB2312"/>
                <w:sz w:val="20"/>
                <w:color w:val="000000"/>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spacing w:before="30"/>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）与本工程相关的特别说明</w:t>
            </w:r>
          </w:p>
          <w:p>
            <w:pPr>
              <w:pStyle w:val="null3"/>
              <w:jc w:val="both"/>
            </w:pPr>
            <w:r>
              <w:rPr>
                <w:rFonts w:ascii="仿宋_GB2312" w:hAnsi="仿宋_GB2312" w:cs="仿宋_GB2312" w:eastAsia="仿宋_GB2312"/>
                <w:sz w:val="20"/>
                <w:color w:val="000000"/>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递交响应文件，正本壹份、副本贰份，随正本密封。若线上电子响应文件与纸质响应文件不一致以电子响应文件为准；若正本和副本不符，以正本为准。 线下递交时间同线上响应文件递交截止时间 ；线下递交文件地点：陕西省西安市碑林区长安北路（南稍门十字）大话南门壹中心13楼1309室。 2、本项目磋商报价为完成本项目工程量清单及图纸的全部内容，包括但不限于以下内容:人工费、材料费、机械费、措施费、管理费、利润、规费、税金、风险等完成本项目所产生的一切费用。 3、本项目中标单位与西安市临潼区农村饮水安全工程建设项目管理处签订工程合同及其他相关文件。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（1）供应商应是合法注册的法人或其他组织,并出具合法有效的营业执照；（2）财务状况证明：提供2023或2024年度经审计的财务审计报告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供应商具备水利水电工程施工总承包三级以上(含三级)资质，具有有效的安全生产许可证；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拟派项目经理须具有水利水电工程专业二级及以上注册建造师证书和行政主管部门颁发的安全生产考核合格证（B 证）且无在建工程；</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经查询，供应商未被列入“信用中国”网站记录的“失信被执行人”或“重大税收违法案件当事人”名单；不处于“中国政府采购网”记录的“政府采购严重违法失信行为记录名单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供应商不得存在下列情形之一： 单位负责人为同一人或者存在直接控股、管理关系的不同供应商，不得参加本次采购活动；为本项目提供整体设计、规范编制或者项目管理、监理、检测等服务的供应商，不得再参加该采购项目的其他采购活动；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方案专门针对本项目编制，符合项目实际情况及实施要求，内容详尽且涵盖角度全面，合理性和可行性强，能够保障项目顺利实施的，得10分; 方案专门针对本项目编制，符合项目实际情况及实施要求，内容详尽且涵盖角度基本全面，有一定的合理性和可行性的，得8分; 方案专门针对本项目编制，基本符合项目实际情况及实施要求，内容较详细，涵盖角度较全面，基本合理可行的，得6分; 方案专门针对本项目编制，基本符合项目实际情况及实施要求，但方案涵盖角度不全面且实施有难度的，得4分; 方案内容简单笼统，实施难度大的，得2分;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 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安排计划科学全面、措施详细具体、针对性强计5分；安排计划科学全面、措施详细具体、针对性较强计4分；安排计划科学全面、措施详细具体、无针对性计3分； 安排计划较科学全面、措施较详细具体计2分； 安排计划内容简单笼统计1分；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 项目部组成科学合理、人员表配置齐全，有详细的人员配置清单，有一定的针对性，满足项目需求，得4分； 项目部组成科学合理、人员表配置较齐全，有人员配置清单，但配置清单信息不全，基本满足项目需求，得3分； 项目部组成人员缺乏科学合理性，无人员配置清单，无法满足项目需求，得2分； 项目部组成内容简单笼统得1分；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应用的技术、产品、工艺、材料等先进科学、可行性高计5分； 应用的技术、产品、工艺、材料等先进科学、可行性较高计4分； 应用的技术、产品、工艺、材料等科学性、可行性缺乏计3分； 应用的技术、产品、工艺、材料等科学性描述脱离实际计2分； 其他情形计1分。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承诺方案专门针对本项目编制，符合项目实际情况及实施要求，内容详尽且涵盖角度基本全面，有一定的合理性和可行性的，得4分; 承诺方案专门针对本项目编制，基本符合项目实际情况及实施要求，内容较详细，涵盖角度较全面，基本合理可行的，得3分; 承诺方案专门针对本项目编制，基本符合项目实际情况及实施要求，但涵盖角度不全面且实施有难度的，得2分;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2020年1月1日至今，每承担过1个类似项目得2.5分，最高得10分（类似业绩合同协议书或中标通知书复印件并加盖公章，合同以签订日期为准，中标通知书以落款时间为准）。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1、磋商报价采用低价优先法计算 , 即满足磋商文件要求且最后磋商报价最低的报价为评审基准价，其价格分为满分。其他供应商的价格 分统一按照下列公式计算：磋商报价得分=【评审基准价/磋商报价( 最终二次报价）】 ×30；2、本项目专门面向中小企业采购，不再执行价格评审优惠扶持政策。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