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版本号：HYDZB202501120250410001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2024年第二批省级水利发展资金西安市临潼区渭北农田排涝系统综合整治项目（二期）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HYDZB2025011</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2024年第二批省级水利发展资金西安市临潼区渭北农田排涝系统综合整治项目（二期）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2024年第二批省级水利发展资金西安市临潼区渭北农田排涝系统综合整治项目（二期）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为有效提高陵雨干沟与大寨干沟交汇处至入渭口段沟道的排涝能力，保障灌溉季节和雨季作物生长环境，满足农田排水系统排涝能力，拟对本项目涉及的排涝系统进行综合整治。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采购包1（2024年第二批省级水利发展资金西安市临潼区渭北农田排涝系统综合整治项目（二期））：属于专门面向中小企业采购。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2、供应商资质：【水利水电工程施工总承包三级】及以上资质，具有有效的安全生产许可证；</w:t>
      </w:r>
    </w:p>
    <w:p>
      <w:pPr>
        <w:pStyle w:val="null3"/>
      </w:pPr>
      <w:r>
        <w:rPr>
          <w:rFonts w:ascii="仿宋_GB2312" w:hAnsi="仿宋_GB2312" w:cs="仿宋_GB2312" w:eastAsia="仿宋_GB2312"/>
        </w:rPr>
        <w:t>3、法人代表证明书或法人授权委托书：法人代表证明书或法人授权委托书，后附法人及被委托人身份证（法定代表人直接参加磋商的只需提供法定代表人身份证）；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4、项目经理：项目经理须具备水利水电工程专业二级（含二级）以上注册建造师资格,具有有效的安全生产考核合格证书，且未担任其他在建工程项目的项目经理承诺；</w:t>
      </w:r>
    </w:p>
    <w:p>
      <w:pPr>
        <w:pStyle w:val="null3"/>
      </w:pPr>
      <w:r>
        <w:rPr>
          <w:rFonts w:ascii="仿宋_GB2312" w:hAnsi="仿宋_GB2312" w:cs="仿宋_GB2312" w:eastAsia="仿宋_GB2312"/>
        </w:rPr>
        <w:t>5、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6、联合体：本项目不接受联合体投标。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13679223774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采购包1：3,996,371.81元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3,996,371.81</w:t>
      </w:r>
    </w:p>
    <w:p>
      <w:pPr>
        <w:pStyle w:val="null3"/>
      </w:pPr>
      <w:r>
        <w:rPr>
          <w:rFonts w:ascii="仿宋_GB2312" w:hAnsi="仿宋_GB2312" w:cs="仿宋_GB2312" w:eastAsia="仿宋_GB2312"/>
        </w:rPr>
        <w:t>采购包最高限价（元）: 3,996,371.81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2024年第二批省级水利发展资金 西安市临潼区渭北农田排涝系统综合整治项目（二期）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3,996,371.81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标的名称：2024年第二批省级水利发展资金 西安市临潼区渭北农田排涝系统综合整治项目（二期）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工程内容和施工地点、计划工期、质量标准</w:t>
            </w:r>
          </w:p>
        </w:tc>
        <w:tc>
          <w:tcPr>
            <w:tcW w:type="dxa" w:w="2076"/>
          </w:tcPr>
          <w:p>
            <w:pPr>
              <w:pStyle w:val="null3"/>
              <w:ind w:firstLine="482"/>
              <w:jc w:val="left"/>
            </w:pPr>
            <w:r>
              <w:rPr>
                <w:rFonts w:ascii="仿宋_GB2312" w:hAnsi="仿宋_GB2312" w:cs="仿宋_GB2312" w:eastAsia="仿宋_GB2312"/>
                <w:sz w:val="24"/>
                <w:b/>
                <w:color w:val="000000"/>
              </w:rPr>
              <w:t>（一）工程</w:t>
            </w:r>
            <w:r>
              <w:rPr>
                <w:rFonts w:ascii="仿宋_GB2312" w:hAnsi="仿宋_GB2312" w:cs="仿宋_GB2312" w:eastAsia="仿宋_GB2312"/>
                <w:sz w:val="24"/>
                <w:b/>
                <w:color w:val="000000"/>
              </w:rPr>
              <w:t>内容：</w:t>
            </w:r>
            <w:r>
              <w:rPr>
                <w:rFonts w:ascii="仿宋_GB2312" w:hAnsi="仿宋_GB2312" w:cs="仿宋_GB2312" w:eastAsia="仿宋_GB2312"/>
                <w:sz w:val="24"/>
                <w:color w:val="000000"/>
              </w:rPr>
              <w:t>本项目包含</w:t>
            </w:r>
            <w:r>
              <w:rPr>
                <w:rFonts w:ascii="仿宋_GB2312" w:hAnsi="仿宋_GB2312" w:cs="仿宋_GB2312" w:eastAsia="仿宋_GB2312"/>
                <w:sz w:val="24"/>
                <w:color w:val="000000"/>
              </w:rPr>
              <w:t>对临潼区渭北区域陵雨干沟与大寨干沟交汇处至入渭口段（属于大寨干沟下游），清淤疏浚现状排水沟道</w:t>
            </w:r>
            <w:r>
              <w:rPr>
                <w:rFonts w:ascii="仿宋_GB2312" w:hAnsi="仿宋_GB2312" w:cs="仿宋_GB2312" w:eastAsia="仿宋_GB2312"/>
                <w:sz w:val="24"/>
                <w:color w:val="000000"/>
              </w:rPr>
              <w:t>4.56km，涉及雨金街道北湃、西关、东关、雨金、粉留等村；新增防护网554m；新增界桩8个、安全警示标示牌2个；新增雷诺护垫护坡374m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（二）工程地点</w:t>
            </w:r>
            <w:r>
              <w:rPr>
                <w:rFonts w:ascii="仿宋_GB2312" w:hAnsi="仿宋_GB2312" w:cs="仿宋_GB2312" w:eastAsia="仿宋_GB2312"/>
                <w:sz w:val="24"/>
                <w:b/>
                <w:color w:val="000000"/>
              </w:rPr>
              <w:t>：</w:t>
            </w:r>
            <w:r>
              <w:rPr>
                <w:rFonts w:ascii="仿宋_GB2312" w:hAnsi="仿宋_GB2312" w:cs="仿宋_GB2312" w:eastAsia="仿宋_GB2312"/>
                <w:sz w:val="24"/>
                <w:color w:val="000000"/>
              </w:rPr>
              <w:t>雨金街道，大寨干沟。</w:t>
            </w:r>
          </w:p>
          <w:p>
            <w:pPr>
              <w:pStyle w:val="null3"/>
              <w:ind w:firstLine="482"/>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计划工期：</w:t>
            </w:r>
            <w:r>
              <w:rPr>
                <w:rFonts w:ascii="仿宋_GB2312" w:hAnsi="仿宋_GB2312" w:cs="仿宋_GB2312" w:eastAsia="仿宋_GB2312"/>
                <w:sz w:val="24"/>
                <w:color w:val="000000"/>
              </w:rPr>
              <w:t>自进场之日起</w:t>
            </w:r>
            <w:r>
              <w:rPr>
                <w:rFonts w:ascii="仿宋_GB2312" w:hAnsi="仿宋_GB2312" w:cs="仿宋_GB2312" w:eastAsia="仿宋_GB2312"/>
                <w:sz w:val="24"/>
                <w:color w:val="000000"/>
              </w:rPr>
              <w:t>120个日历日内竣工。</w:t>
            </w:r>
          </w:p>
          <w:p>
            <w:pPr>
              <w:pStyle w:val="null3"/>
              <w:ind w:firstLine="482"/>
              <w:jc w:val="left"/>
            </w:pPr>
            <w:r>
              <w:rPr>
                <w:rFonts w:ascii="仿宋_GB2312" w:hAnsi="仿宋_GB2312" w:cs="仿宋_GB2312" w:eastAsia="仿宋_GB2312"/>
                <w:sz w:val="24"/>
                <w:b/>
                <w:color w:val="000000"/>
              </w:rPr>
              <w:t>（四）质量标准：</w:t>
            </w:r>
            <w:r>
              <w:rPr>
                <w:rFonts w:ascii="仿宋_GB2312" w:hAnsi="仿宋_GB2312" w:cs="仿宋_GB2312" w:eastAsia="仿宋_GB2312"/>
                <w:sz w:val="24"/>
                <w:color w:val="000000"/>
              </w:rPr>
              <w:t>达到国家现行施工质量验收规范</w:t>
            </w:r>
            <w:r>
              <w:rPr>
                <w:rFonts w:ascii="仿宋_GB2312" w:hAnsi="仿宋_GB2312" w:cs="仿宋_GB2312" w:eastAsia="仿宋_GB2312"/>
                <w:sz w:val="24"/>
                <w:color w:val="000000"/>
              </w:rPr>
              <w:t>“合格”标</w:t>
            </w:r>
            <w:r>
              <w:rPr>
                <w:rFonts w:ascii="仿宋_GB2312" w:hAnsi="仿宋_GB2312" w:cs="仿宋_GB2312" w:eastAsia="仿宋_GB2312"/>
                <w:sz w:val="24"/>
                <w:color w:val="000000"/>
              </w:rPr>
              <w:t>准。</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计价依据</w:t>
            </w:r>
          </w:p>
        </w:tc>
        <w:tc>
          <w:tcPr>
            <w:tcW w:type="dxa" w:w="2076"/>
          </w:tcPr>
          <w:p>
            <w:pPr>
              <w:pStyle w:val="null3"/>
              <w:ind w:firstLine="482"/>
              <w:jc w:val="left"/>
            </w:pPr>
            <w:r>
              <w:rPr>
                <w:rFonts w:ascii="仿宋_GB2312" w:hAnsi="仿宋_GB2312" w:cs="仿宋_GB2312" w:eastAsia="仿宋_GB2312"/>
                <w:sz w:val="24"/>
                <w:b/>
                <w:color w:val="000000"/>
              </w:rPr>
              <w:t>（一）计价依据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1）《2024年第二批省级水利发展资金西安市临潼区渭北农田排涝系统综合整治项目（二期）》项目相关文件及图纸等资料；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2）陕发改项目[2017]1606号文《关于《陕西省水利工程设计概（估）算编制规定》《陕西省水利建筑工程预算定额》等计价依据的批复》；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3）陕水规计发〔2019〕66号文《陕西省水利厅关于发布试行《陕西省水利工程设计概（估）算编制规定》、《陕西省水利建筑工程预算定额》等计价依据的通知》；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4）陕发改投资[2016]1303号文《关于陕西省水利工程营改增计价依据调整办法》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5）办材务函[2019]448号《水利部办公厅关于调整水利工程计价依据增值税计算标准的通知》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6）不足部分采用相关定额进行补充。</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工程量清单</w:t>
            </w:r>
          </w:p>
        </w:tc>
        <w:tc>
          <w:tcPr>
            <w:tcW w:type="dxa" w:w="2076"/>
          </w:tcPr>
          <w:p>
            <w:pPr>
              <w:pStyle w:val="null3"/>
              <w:ind w:firstLine="482"/>
              <w:jc w:val="left"/>
            </w:pPr>
            <w:r>
              <w:rPr>
                <w:rFonts w:ascii="仿宋_GB2312" w:hAnsi="仿宋_GB2312" w:cs="仿宋_GB2312" w:eastAsia="仿宋_GB2312"/>
                <w:sz w:val="24"/>
                <w:b/>
                <w:color w:val="000000"/>
              </w:rPr>
              <w:t>（二）工程量清单</w:t>
            </w:r>
          </w:p>
          <w:p>
            <w:pPr>
              <w:pStyle w:val="null3"/>
              <w:jc w:val="left"/>
            </w:pPr>
            <w:r>
              <w:rPr>
                <w:rFonts w:ascii="仿宋_GB2312" w:hAnsi="仿宋_GB2312" w:cs="仿宋_GB2312" w:eastAsia="仿宋_GB2312"/>
                <w:sz w:val="24"/>
                <w:color w:val="000000"/>
              </w:rPr>
              <w:t>详见工程量清单。</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合同签订</w:t>
            </w:r>
          </w:p>
        </w:tc>
        <w:tc>
          <w:tcPr>
            <w:tcW w:type="dxa" w:w="2076"/>
          </w:tcPr>
          <w:p>
            <w:pPr>
              <w:pStyle w:val="null3"/>
            </w:pPr>
            <w:r>
              <w:rPr>
                <w:rFonts w:ascii="仿宋_GB2312" w:hAnsi="仿宋_GB2312" w:cs="仿宋_GB2312" w:eastAsia="仿宋_GB2312"/>
                <w:sz w:val="24"/>
                <w:b/>
              </w:rPr>
              <w:t>本项目中标单位与西安市临潼区小型农田水利项目建设管理处签订施工合同及其他相关文件。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 线下递交时间同线上响应文件递交截止时间 ；线下递交文件地点：西安市临潼区秦陵南路20号陕西恒益鼎工程项目管理有限公司。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社会保障资金缴纳证明：自2024年6月1日以来已缴存的至少一个月的社会保障资金缴存单据或社保机构开具的社会保险参保缴费情况证明，单据或证明上应有社保机构或代收机构的公章或业务专用章。依法不需要缴纳社会保障资金的服务商应提供相关文件证明； （2）税收缴纳证明：自2024年6月1日以来已缴纳的至少一个月的纳税证明或完税证明（任意税种），依法免税的单位应提供相关证明材料； （3）参加政府采购活动前三年内，在经营活动中没有重大违法记录的书面声明； （4）履行合同所必需的设备和专业技术能力的书面声明；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关于财务会计制度的证明材料。财务状况报告：提供2023年度经审计的财务审计报告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【水利水电工程施工总承包三级】及以上资质，具有有效的安全生产许可证；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项目经理须具备水利水电工程专业二级（含二级）以上注册建造师资格,具有有效的安全生产考核合格证书，且未担任其他在建工程项目的项目经理承诺；</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投标方案.docx 已标价工程量清单 供应商应提交的相关资格证明材料.docx 项目管理机构组成表 中小企业声明函 残疾人福利性单位声明函 技术服务合同条款及其他商务要求应答表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磋商文件上法定代表人或其授权代表人的签字、盖章齐全并加盖供应商公章</w:t>
            </w:r>
          </w:p>
        </w:tc>
        <w:tc>
          <w:tcPr>
            <w:tcW w:type="dxa" w:w="1661"/>
          </w:tcPr>
          <w:p>
            <w:pPr>
              <w:pStyle w:val="null3"/>
            </w:pPr>
            <w:r>
              <w:rPr>
                <w:rFonts w:ascii="仿宋_GB2312" w:hAnsi="仿宋_GB2312" w:cs="仿宋_GB2312" w:eastAsia="仿宋_GB2312"/>
              </w:rPr>
              <w:t>响应文件封面 投标方案.docx 已标价工程量清单 供应商应提交的相关资格证明材料.docx 项目管理机构组成表 中小企业声明函 残疾人福利性单位声明函 技术服务合同条款及其他商务要求应答表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投标报价是否唯一，是否超过磋商文件中规定的采购预算或最高限价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结合本项目施工特点，制定的施工方案、方法与技术措施内容全面，能运用先进技术、新能源材料、施工工艺先进，对施工具有高度指导性。评标委员会在0-8分之间酌情赋分。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保证施工工期的措施</w:t>
            </w:r>
          </w:p>
        </w:tc>
        <w:tc>
          <w:tcPr>
            <w:tcW w:type="dxa" w:w="2492"/>
          </w:tcPr>
          <w:p>
            <w:pPr>
              <w:pStyle w:val="null3"/>
            </w:pPr>
            <w:r>
              <w:rPr>
                <w:rFonts w:ascii="仿宋_GB2312" w:hAnsi="仿宋_GB2312" w:cs="仿宋_GB2312" w:eastAsia="仿宋_GB2312"/>
              </w:rPr>
              <w:t>工期满足磋商文件要求、节点工期控制合理。保证施工工期，按期完工的相关措施合理有效。评标委员会在0-8分之间酌情赋分。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质量目标明确，管理体系健全，预控和动态控制措施完整，实施工艺、手段先进、可靠、科学，管理体系和组织措施功能完善，评标委员会在0-8分之间酌情赋分。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环境保护目标明确，预防和动态控制措施及制度完整、到位，管理体系和组织措施功能完善。评标委员会在0-8分之间酌情赋分。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安全生产目标明确，预防和动态控制措施及制度完整、到位，管理体系和组织措施功能完善程度，评标委员会在0-8分之间酌情赋分。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施工现场平面布置</w:t>
            </w:r>
          </w:p>
        </w:tc>
        <w:tc>
          <w:tcPr>
            <w:tcW w:type="dxa" w:w="2492"/>
          </w:tcPr>
          <w:p>
            <w:pPr>
              <w:pStyle w:val="null3"/>
            </w:pPr>
            <w:r>
              <w:rPr>
                <w:rFonts w:ascii="仿宋_GB2312" w:hAnsi="仿宋_GB2312" w:cs="仿宋_GB2312" w:eastAsia="仿宋_GB2312"/>
              </w:rPr>
              <w:t>根据施工需要和现场实际情况，对施工现场全面规划（包括但不限于加工设施、存贮设施、垂直运输设施、供电设施、排水排污设施、临时施工道路区域等），综合考虑，合理布局。评标委员会在0-7分之间酌情赋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主要劳动力配备</w:t>
            </w:r>
          </w:p>
        </w:tc>
        <w:tc>
          <w:tcPr>
            <w:tcW w:type="dxa" w:w="2492"/>
          </w:tcPr>
          <w:p>
            <w:pPr>
              <w:pStyle w:val="null3"/>
            </w:pPr>
            <w:r>
              <w:rPr>
                <w:rFonts w:ascii="仿宋_GB2312" w:hAnsi="仿宋_GB2312" w:cs="仿宋_GB2312" w:eastAsia="仿宋_GB2312"/>
              </w:rPr>
              <w:t>根据各类人员配备情况、满足施工要求程度，评标委员会在0-7分之间酌情赋分。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农民工工资支付保证措施</w:t>
            </w:r>
          </w:p>
        </w:tc>
        <w:tc>
          <w:tcPr>
            <w:tcW w:type="dxa" w:w="2492"/>
          </w:tcPr>
          <w:p>
            <w:pPr>
              <w:pStyle w:val="null3"/>
            </w:pPr>
            <w:r>
              <w:rPr>
                <w:rFonts w:ascii="仿宋_GB2312" w:hAnsi="仿宋_GB2312" w:cs="仿宋_GB2312" w:eastAsia="仿宋_GB2312"/>
              </w:rPr>
              <w:t>对于农民工工资支付保证措施完善且实施程度完整程度，评标委员会在0-6分之间酌情赋分。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供应商2020年1月1日至今类似项目业绩，每提供1份得2分，最高得6分。 业绩证明（以合同或中标通知书为准，须在投标文件中附合同或中标通知书的扫描件加盖单位公章，原件备查）弄虚作假者，取消其中标资格。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工程质量承诺</w:t>
            </w:r>
          </w:p>
        </w:tc>
        <w:tc>
          <w:tcPr>
            <w:tcW w:type="dxa" w:w="2492"/>
          </w:tcPr>
          <w:p>
            <w:pPr>
              <w:pStyle w:val="null3"/>
            </w:pPr>
            <w:r>
              <w:rPr>
                <w:rFonts w:ascii="仿宋_GB2312" w:hAnsi="仿宋_GB2312" w:cs="仿宋_GB2312" w:eastAsia="仿宋_GB2312"/>
              </w:rPr>
              <w:t>工程质量承诺完整、合理，评标委员会在0-4分之间酌情赋分。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报价得分=（评标基准价/磋商报价）×价格权重×100 说明：本项目为专门面向中小企业项目，因此不再执行价格评审优惠扶持政策。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