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版本号：HYZB2025000620250328002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西安市临潼区三府村生活垃圾填埋场2025年至2026年第1季度排污许可例行监测、污水在线监测设备技术服务等项目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HYZB20250006</w:t>
      </w:r>
      <w:r>
        <w:br/>
      </w:r>
      <w:r>
        <w:br/>
      </w:r>
      <w:r>
        <w:br/>
      </w:r>
    </w:p>
    <w:p>
      <w:pPr>
        <w:pStyle w:val="null3"/>
        <w:jc w:val="center"/>
        <w:outlineLvl w:val="2"/>
      </w:pPr>
      <w:r>
        <w:rPr>
          <w:rFonts w:ascii="仿宋_GB2312" w:hAnsi="仿宋_GB2312" w:cs="仿宋_GB2312" w:eastAsia="仿宋_GB2312"/>
          <w:sz w:val="28"/>
          <w:b/>
        </w:rPr>
        <w:t>西安市临潼区环境卫生管理服务中心</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西安市临潼区环境卫生管理服务中心</w:t>
      </w:r>
      <w:r>
        <w:rPr>
          <w:rFonts w:ascii="仿宋_GB2312" w:hAnsi="仿宋_GB2312" w:cs="仿宋_GB2312" w:eastAsia="仿宋_GB2312"/>
        </w:rPr>
        <w:t>委托，拟对</w:t>
      </w:r>
      <w:r>
        <w:rPr>
          <w:rFonts w:ascii="仿宋_GB2312" w:hAnsi="仿宋_GB2312" w:cs="仿宋_GB2312" w:eastAsia="仿宋_GB2312"/>
        </w:rPr>
        <w:t>西安市临潼区三府村生活垃圾填埋场2025年至2026年第1季度排污许可例行监测、污水在线监测设备技术服务等项目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HYZB20250006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西安市临潼区三府村生活垃圾填埋场2025年至2026年第1季度排污许可例行监测、污水在线监测设备技术服务等项目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临潼区三府村生活垃圾卫生填埋场按照排污许可要求开展环境监测。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采购包1（西安市临潼区三府村生活垃圾填埋场2025年至2026年第1季度排污许可例行监测、污水在线监测设备技术服务等项目）：属于专门面向中小企业采购。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2、法人授权：法定代表人授权书（附法定代表人身份证复印件）及被授权人身份证（法定代表人直接参加磋商只须提供法定代表人身份证）；</w:t>
      </w:r>
    </w:p>
    <w:p>
      <w:pPr>
        <w:pStyle w:val="null3"/>
      </w:pPr>
      <w:r>
        <w:rPr>
          <w:rFonts w:ascii="仿宋_GB2312" w:hAnsi="仿宋_GB2312" w:cs="仿宋_GB2312" w:eastAsia="仿宋_GB2312"/>
        </w:rPr>
        <w:t>3、财务状况报告：提供2023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rFonts w:ascii="仿宋_GB2312" w:hAnsi="仿宋_GB2312" w:cs="仿宋_GB2312" w:eastAsia="仿宋_GB2312"/>
        </w:rPr>
        <w:t>4、税收缴纳证明：提供磋商截止日前一年内已缴纳的至少一个月的纳税证明或完税证明；依法免税的单位应提供相关证明材料；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6、没有重大违法记录的书面声明：提供参加采购活动近三年内经营活动中无重大违法记录声明；</w:t>
      </w:r>
    </w:p>
    <w:p>
      <w:pPr>
        <w:pStyle w:val="null3"/>
      </w:pPr>
      <w:r>
        <w:rPr>
          <w:rFonts w:ascii="仿宋_GB2312" w:hAnsi="仿宋_GB2312" w:cs="仿宋_GB2312" w:eastAsia="仿宋_GB2312"/>
        </w:rPr>
        <w:t>7、信誉：提供未被列入“中国执行信息公开网”失信被执行人名单（http://zxgk.court.gov.cn/shixin/），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8、特定资质：提供具有省级及以上质量技术监督部门颁发的检验检测机构资质认定证书（CMA）；</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西安市临潼区环境卫生管理服务中心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临潼区姜寨北路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曹站长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029-83813046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采购包1：538,088.40元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及国家发改委2011年颁布的《国家发展改革委关于降低部分建设项目收费标准规范收费行为等有关问题的通知》（发改价格[2011]534号向招标代理机构一次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西安市临潼区环境卫生管理服务中心</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西安市临潼区环境卫生管理服务中心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西安市临潼区环境卫生管理服务中心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 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临潼区三府村生活垃圾卫生填埋场按照排污许可要求开展环境监测。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538,088.40</w:t>
      </w:r>
    </w:p>
    <w:p>
      <w:pPr>
        <w:pStyle w:val="null3"/>
      </w:pPr>
      <w:r>
        <w:rPr>
          <w:rFonts w:ascii="仿宋_GB2312" w:hAnsi="仿宋_GB2312" w:cs="仿宋_GB2312" w:eastAsia="仿宋_GB2312"/>
        </w:rPr>
        <w:t>采购包最高限价（元）: 538,088.40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西安市临潼区三府村生活垃圾填埋场2025年至2026年第1季度排污许可例行监测、污水在线监测设备技术服务等项目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538,088.40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标的名称：西安市临潼区三府村生活垃圾填埋场2025年至2026年第1季度排污许可例行监测、污水在线监测设备技术服务等项目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一、采购内容</w:t>
            </w:r>
            <w:r>
              <w:br/>
            </w:r>
            <w:r>
              <w:rPr>
                <w:rFonts w:ascii="仿宋_GB2312" w:hAnsi="仿宋_GB2312" w:cs="仿宋_GB2312" w:eastAsia="仿宋_GB2312"/>
              </w:rPr>
              <w:t xml:space="preserve"> 1、项目名称：西安市临潼区三府村生活垃圾填埋场2025年至2026年第1季度排污许可例行监测、污水在线监测设备技术服务等项目</w:t>
            </w:r>
            <w:r>
              <w:br/>
            </w:r>
            <w:r>
              <w:rPr>
                <w:rFonts w:ascii="仿宋_GB2312" w:hAnsi="仿宋_GB2312" w:cs="仿宋_GB2312" w:eastAsia="仿宋_GB2312"/>
              </w:rPr>
              <w:t xml:space="preserve"> 2、工程概况：要求临潼区三府村生活垃圾卫生填埋场进行按照排污许可要求开展环境监测；并保障污水在线监测设备的正常运行。</w:t>
            </w:r>
            <w:r>
              <w:br/>
            </w:r>
            <w:r>
              <w:rPr>
                <w:rFonts w:ascii="仿宋_GB2312" w:hAnsi="仿宋_GB2312" w:cs="仿宋_GB2312" w:eastAsia="仿宋_GB2312"/>
              </w:rPr>
              <w:t xml:space="preserve"> 3、工程地点：临潼区</w:t>
            </w:r>
            <w:r>
              <w:br/>
            </w:r>
            <w:r>
              <w:rPr>
                <w:rFonts w:ascii="仿宋_GB2312" w:hAnsi="仿宋_GB2312" w:cs="仿宋_GB2312" w:eastAsia="仿宋_GB2312"/>
              </w:rPr>
              <w:t xml:space="preserve"> 服务期：自合同签订之日起至2026年3月31日。</w:t>
            </w:r>
            <w:r>
              <w:br/>
            </w:r>
            <w:r>
              <w:rPr>
                <w:rFonts w:ascii="仿宋_GB2312" w:hAnsi="仿宋_GB2312" w:cs="仿宋_GB2312" w:eastAsia="仿宋_GB2312"/>
              </w:rPr>
              <w:t xml:space="preserve"> 4、技术要求</w:t>
            </w:r>
            <w:r>
              <w:br/>
            </w:r>
            <w:r>
              <w:rPr>
                <w:rFonts w:ascii="仿宋_GB2312" w:hAnsi="仿宋_GB2312" w:cs="仿宋_GB2312" w:eastAsia="仿宋_GB2312"/>
              </w:rPr>
              <w:t xml:space="preserve"> 鉴定报告所有内容应满足国家、省、市相关规范、 规定，必须同时符合以下要求：</w:t>
            </w:r>
            <w:r>
              <w:br/>
            </w:r>
            <w:r>
              <w:rPr>
                <w:rFonts w:ascii="仿宋_GB2312" w:hAnsi="仿宋_GB2312" w:cs="仿宋_GB2312" w:eastAsia="仿宋_GB2312"/>
              </w:rPr>
              <w:t xml:space="preserve"> （1）有符合要求的专业技术人员；</w:t>
            </w:r>
            <w:r>
              <w:br/>
            </w:r>
            <w:r>
              <w:rPr>
                <w:rFonts w:ascii="仿宋_GB2312" w:hAnsi="仿宋_GB2312" w:cs="仿宋_GB2312" w:eastAsia="仿宋_GB2312"/>
              </w:rPr>
              <w:t xml:space="preserve"> （2）有相关专业的工作经验。</w:t>
            </w:r>
          </w:p>
          <w:p>
            <w:pPr>
              <w:pStyle w:val="null3"/>
            </w:pPr>
            <w:r>
              <w:rPr>
                <w:rFonts w:ascii="仿宋_GB2312" w:hAnsi="仿宋_GB2312" w:cs="仿宋_GB2312" w:eastAsia="仿宋_GB2312"/>
              </w:rPr>
              <w:t>二、排污许可年度例行检测清单</w:t>
            </w:r>
          </w:p>
          <w:tbl>
            <w:tblPr>
              <w:tblBorders>
                <w:top w:val="single"/>
                <w:left w:val="single"/>
                <w:bottom w:val="single"/>
                <w:right w:val="single"/>
                <w:insideH w:val="single"/>
                <w:insideV w:val="single"/>
              </w:tblBorders>
            </w:tblPr>
            <w:tblGrid>
              <w:gridCol w:w="136"/>
              <w:gridCol w:w="242"/>
              <w:gridCol w:w="370"/>
              <w:gridCol w:w="370"/>
              <w:gridCol w:w="370"/>
              <w:gridCol w:w="370"/>
            </w:tblGrid>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分项</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项目</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频次</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次数</w:t>
                  </w:r>
                </w:p>
              </w:tc>
            </w:tr>
            <w:tr>
              <w:tc>
                <w:tcPr>
                  <w:tcW w:type="dxa" w:w="1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无组织废气</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气象参数</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硫化氢</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氨</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臭气浓度</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甲烷</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颗粒物</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1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有组织废气</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臭气浓度</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硫化氢</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氨</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甲烷</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地下水</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pH</w:t>
                  </w:r>
                  <w:r>
                    <w:rPr>
                      <w:rFonts w:ascii="仿宋_GB2312" w:hAnsi="仿宋_GB2312" w:cs="仿宋_GB2312" w:eastAsia="仿宋_GB2312"/>
                      <w:sz w:val="24"/>
                      <w:color w:val="000000"/>
                    </w:rPr>
                    <w:t>值</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耗氧量</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挥发酚</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氟化物</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氯化物</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硝酸盐</w:t>
                  </w:r>
                  <w:r>
                    <w:rPr>
                      <w:rFonts w:ascii="仿宋_GB2312" w:hAnsi="仿宋_GB2312" w:cs="仿宋_GB2312" w:eastAsia="仿宋_GB2312"/>
                      <w:sz w:val="24"/>
                      <w:color w:val="000000"/>
                    </w:rPr>
                    <w:t>氮</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亚硝酸盐</w:t>
                  </w:r>
                  <w:r>
                    <w:rPr>
                      <w:rFonts w:ascii="仿宋_GB2312" w:hAnsi="仿宋_GB2312" w:cs="仿宋_GB2312" w:eastAsia="仿宋_GB2312"/>
                      <w:sz w:val="24"/>
                      <w:color w:val="000000"/>
                    </w:rPr>
                    <w:t>氮</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硫酸盐</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总硬度</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氨氮</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溶解性总固体</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氰化物</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砷</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汞</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六价铬</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铅</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镉</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铁</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锰</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铜</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锌</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总大肠菌群</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1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雨水</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pH值</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化学需氧量</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悬浮物</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1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渗滤液</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pH值</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流量</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色度</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化学需氧量</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五日生化需氧量</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悬浮物</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总氮</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氨氮</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总磷</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粪大肠菌群数</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总汞</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总镉</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总铬</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六价铬</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总砷</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总铅</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噪声</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厂界噪声</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比对质控费用</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流量</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pH值</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氨氮</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3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化学需氧量</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36"/>
                  <w:vMerge/>
                  <w:tcBorders>
                    <w:top w:val="single" w:color="000000" w:sz="4"/>
                    <w:left w:val="single" w:color="000000" w:sz="4"/>
                    <w:bottom w:val="single" w:color="000000" w:sz="4"/>
                    <w:right w:val="single" w:color="000000" w:sz="4"/>
                  </w:tcBorders>
                </w:tcP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比对监测费用</w:t>
                  </w:r>
                </w:p>
              </w:tc>
              <w:tc>
                <w:tcPr>
                  <w:tcW w:type="dxa" w:w="1480"/>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在线监测设备比对，共2次</w:t>
                  </w:r>
                </w:p>
              </w:tc>
            </w:tr>
            <w:tr>
              <w:tc>
                <w:tcPr>
                  <w:tcW w:type="dxa" w:w="74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排污许可数据填报</w:t>
                  </w:r>
                </w:p>
              </w:tc>
              <w:tc>
                <w:tcPr>
                  <w:tcW w:type="dxa" w:w="1110"/>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每逢双周填报1次，共26次</w:t>
                  </w:r>
                </w:p>
              </w:tc>
            </w:tr>
            <w:tr>
              <w:tc>
                <w:tcPr>
                  <w:tcW w:type="dxa" w:w="74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执行报告季报</w:t>
                  </w:r>
                </w:p>
              </w:tc>
              <w:tc>
                <w:tcPr>
                  <w:tcW w:type="dxa" w:w="1110"/>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每季度1次，共4季</w:t>
                  </w:r>
                </w:p>
              </w:tc>
            </w:tr>
            <w:tr>
              <w:tc>
                <w:tcPr>
                  <w:tcW w:type="dxa" w:w="74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执行报告年报</w:t>
                  </w:r>
                </w:p>
              </w:tc>
              <w:tc>
                <w:tcPr>
                  <w:tcW w:type="dxa" w:w="1110"/>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每季度1次，共1年</w:t>
                  </w:r>
                </w:p>
              </w:tc>
            </w:tr>
            <w:tr>
              <w:tc>
                <w:tcPr>
                  <w:tcW w:type="dxa" w:w="74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生态业务统计年报</w:t>
                  </w:r>
                </w:p>
              </w:tc>
              <w:tc>
                <w:tcPr>
                  <w:tcW w:type="dxa" w:w="1110"/>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每年一次，共1年</w:t>
                  </w:r>
                </w:p>
              </w:tc>
            </w:tr>
            <w:tr>
              <w:tc>
                <w:tcPr>
                  <w:tcW w:type="dxa" w:w="74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备注</w:t>
                  </w:r>
                </w:p>
              </w:tc>
              <w:tc>
                <w:tcPr>
                  <w:tcW w:type="dxa" w:w="1110"/>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检测综合单价，包含采样费、固定费、前处理费、分析费</w:t>
                  </w:r>
                </w:p>
              </w:tc>
            </w:tr>
          </w:tbl>
          <w:tbl>
            <w:tblPr>
              <w:tblBorders>
                <w:top w:val="single"/>
                <w:left w:val="single"/>
                <w:bottom w:val="single"/>
                <w:right w:val="single"/>
                <w:insideH w:val="single"/>
                <w:insideV w:val="single"/>
              </w:tblBorders>
            </w:tblPr>
            <w:tblGrid>
              <w:gridCol w:w="148"/>
              <w:gridCol w:w="279"/>
              <w:gridCol w:w="381"/>
              <w:gridCol w:w="148"/>
              <w:gridCol w:w="674"/>
              <w:gridCol w:w="227"/>
            </w:tblGrid>
            <w:tr>
              <w:tc>
                <w:tcPr>
                  <w:tcW w:type="dxa" w:w="1857"/>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rPr>
                    <w:t>三、污水在线检测技术服务清单</w:t>
                  </w:r>
                </w:p>
              </w:tc>
            </w:tr>
            <w:tr>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名称</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维保仪器名称</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c>
                <w:tcPr>
                  <w:tcW w:type="dxa" w:w="6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运维内容</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运营期（月）</w:t>
                  </w:r>
                </w:p>
              </w:tc>
            </w:tr>
            <w:tr>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维护项目报价</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CODcr、氨氮、PH、流量计、数采仪、自动采样器等</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6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专业服务人工、运维台账管理、每日平台查看数据、定期巡检校准、设备维修保养、试剂耗材、易损件，环保局定期汇报，即第三方专业运维全包服务。</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其他项目定期检查维修</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UPS、空调等辅助设施</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6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定期检查，专业公司维修</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自合同签订之日起至2026年3月31日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西安市临潼区三府村生活垃圾填埋场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签订合同后5个工作日内甲方向乙方支付合同总价额的30%作为本次技术服务的预付款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排污许可年度例行监测和污水在线检测技术服务完成后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法定代表人授权书（附法定代表人身份证复印件）及被授权人身份证（法定代表人直接参加磋商只须提供法定代表人身份证）；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提供参加采购活动近三年内经营活动中无重大违法记录声明；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提供未被列入“中国执行信息公开网”失信被执行人名单（http://zxgk.court.gov.cn/shixin/），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提供具有省级及以上质量技术监督部门颁发的检验检测机构资质认定证书（CMA）；</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磋商响应文件上法定代表人或其授权代表人的签字齐全，要求加盖单位公章处加盖公章。</w:t>
            </w:r>
          </w:p>
        </w:tc>
        <w:tc>
          <w:tcPr>
            <w:tcW w:type="dxa" w:w="1661"/>
          </w:tcPr>
          <w:p>
            <w:pPr>
              <w:pStyle w:val="null3"/>
            </w:pPr>
            <w:r>
              <w:rPr>
                <w:rFonts w:ascii="仿宋_GB2312" w:hAnsi="仿宋_GB2312" w:cs="仿宋_GB2312" w:eastAsia="仿宋_GB2312"/>
              </w:rPr>
              <w:t>响应文件封面 供应商应提交的相关资格证明材料.docx 商务、技术偏差表.docx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供应商应提交的相关资格证明材料.docx 商务、技术偏差表.docx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供应商应提交的相关资格证明材料.docx 商务、技术偏差表.docx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只能有一个有效报价，不得提交选择性报价，按要求提交二次或多次报价，且第一轮报价不超过最高限价，第二轮报价不超过第一轮报价金额。磋商小组认为低于成本报价的磋商报价将被拒绝。</w:t>
            </w:r>
          </w:p>
        </w:tc>
        <w:tc>
          <w:tcPr>
            <w:tcW w:type="dxa" w:w="1661"/>
          </w:tcPr>
          <w:p>
            <w:pPr>
              <w:pStyle w:val="null3"/>
            </w:pPr>
            <w:r>
              <w:rPr>
                <w:rFonts w:ascii="仿宋_GB2312" w:hAnsi="仿宋_GB2312" w:cs="仿宋_GB2312" w:eastAsia="仿宋_GB2312"/>
              </w:rPr>
              <w:t>响应文件封面 供应商应提交的相关资格证明材料.docx 商务、技术偏差表.docx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磋商响应文件内容符合磋商文件要求，不能有任何采购人不能接受的附加条件。</w:t>
            </w:r>
          </w:p>
        </w:tc>
        <w:tc>
          <w:tcPr>
            <w:tcW w:type="dxa" w:w="1661"/>
          </w:tcPr>
          <w:p>
            <w:pPr>
              <w:pStyle w:val="null3"/>
            </w:pPr>
            <w:r>
              <w:rPr>
                <w:rFonts w:ascii="仿宋_GB2312" w:hAnsi="仿宋_GB2312" w:cs="仿宋_GB2312" w:eastAsia="仿宋_GB2312"/>
              </w:rPr>
              <w:t>响应文件封面 供应商应提交的相关资格证明材料.docx 商务、技术偏差表.docx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供应商应提交的相关资格证明材料.docx 商务、技术偏差表.docx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供应商应提交的相关资格证明材料.docx 商务、技术偏差表.docx 中小企业声明函 残疾人福利性单位声明函 标的清单 报价表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提供周密的实施方案，配置合理、分工明确，时间进度安排得当、满足招标文件时限要求，按其响应程度计0-10分。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商务、技术偏差表.docx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检测结果的质量保证措施。按其响应程度计0-8分。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商务、技术偏差表.docx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检测工作的进度保证措施。按其响应程度计0-8分。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商务、技术偏差表.docx</w:t>
            </w:r>
          </w:p>
        </w:tc>
      </w:tr>
      <w:tr>
        <w:tc>
          <w:tcPr>
            <w:tcW w:type="dxa" w:w="831"/>
            <w:vMerge/>
          </w:tcPr>
          <w:p/>
        </w:tc>
        <w:tc>
          <w:tcPr>
            <w:tcW w:type="dxa" w:w="1661"/>
          </w:tcPr>
          <w:p>
            <w:pPr>
              <w:pStyle w:val="null3"/>
            </w:pPr>
            <w:r>
              <w:rPr>
                <w:rFonts w:ascii="仿宋_GB2312" w:hAnsi="仿宋_GB2312" w:cs="仿宋_GB2312" w:eastAsia="仿宋_GB2312"/>
              </w:rPr>
              <w:t>投入的设备、设备及配置计划。</w:t>
            </w:r>
          </w:p>
        </w:tc>
        <w:tc>
          <w:tcPr>
            <w:tcW w:type="dxa" w:w="2492"/>
          </w:tcPr>
          <w:p>
            <w:pPr>
              <w:pStyle w:val="null3"/>
            </w:pPr>
            <w:r>
              <w:rPr>
                <w:rFonts w:ascii="仿宋_GB2312" w:hAnsi="仿宋_GB2312" w:cs="仿宋_GB2312" w:eastAsia="仿宋_GB2312"/>
              </w:rPr>
              <w:t>投入的设备、设备及配置计划。主要检测设备齐全，达到与检测内容相应的检测设备标准。 按其响应程度计0-8分。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商务、技术偏差表.docx</w:t>
            </w:r>
          </w:p>
        </w:tc>
      </w:tr>
      <w:tr>
        <w:tc>
          <w:tcPr>
            <w:tcW w:type="dxa" w:w="831"/>
            <w:vMerge/>
          </w:tcPr>
          <w:p/>
        </w:tc>
        <w:tc>
          <w:tcPr>
            <w:tcW w:type="dxa" w:w="1661"/>
          </w:tcPr>
          <w:p>
            <w:pPr>
              <w:pStyle w:val="null3"/>
            </w:pPr>
            <w:r>
              <w:rPr>
                <w:rFonts w:ascii="仿宋_GB2312" w:hAnsi="仿宋_GB2312" w:cs="仿宋_GB2312" w:eastAsia="仿宋_GB2312"/>
              </w:rPr>
              <w:t>有健全的技术管理和质量保证体系</w:t>
            </w:r>
          </w:p>
        </w:tc>
        <w:tc>
          <w:tcPr>
            <w:tcW w:type="dxa" w:w="2492"/>
          </w:tcPr>
          <w:p>
            <w:pPr>
              <w:pStyle w:val="null3"/>
            </w:pPr>
            <w:r>
              <w:rPr>
                <w:rFonts w:ascii="仿宋_GB2312" w:hAnsi="仿宋_GB2312" w:cs="仿宋_GB2312" w:eastAsia="仿宋_GB2312"/>
              </w:rPr>
              <w:t>有健全的技术管理和质量保证体系。按其响应程度计0-8分。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商务、技术偏差表.docx</w:t>
            </w:r>
          </w:p>
        </w:tc>
      </w:tr>
      <w:tr>
        <w:tc>
          <w:tcPr>
            <w:tcW w:type="dxa" w:w="831"/>
            <w:vMerge/>
          </w:tcPr>
          <w:p/>
        </w:tc>
        <w:tc>
          <w:tcPr>
            <w:tcW w:type="dxa" w:w="1661"/>
          </w:tcPr>
          <w:p>
            <w:pPr>
              <w:pStyle w:val="null3"/>
            </w:pPr>
            <w:r>
              <w:rPr>
                <w:rFonts w:ascii="仿宋_GB2312" w:hAnsi="仿宋_GB2312" w:cs="仿宋_GB2312" w:eastAsia="仿宋_GB2312"/>
              </w:rPr>
              <w:t>配套质量管理、安全管理等各项措施完善</w:t>
            </w:r>
          </w:p>
        </w:tc>
        <w:tc>
          <w:tcPr>
            <w:tcW w:type="dxa" w:w="2492"/>
          </w:tcPr>
          <w:p>
            <w:pPr>
              <w:pStyle w:val="null3"/>
            </w:pPr>
            <w:r>
              <w:rPr>
                <w:rFonts w:ascii="仿宋_GB2312" w:hAnsi="仿宋_GB2312" w:cs="仿宋_GB2312" w:eastAsia="仿宋_GB2312"/>
              </w:rPr>
              <w:t>配套质量管理、安全管理等各项措施完善。按其响应程度计0-8分。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商务、技术偏差表.docx</w:t>
            </w:r>
          </w:p>
        </w:tc>
      </w:tr>
      <w:tr>
        <w:tc>
          <w:tcPr>
            <w:tcW w:type="dxa" w:w="831"/>
            <w:vMerge/>
          </w:tcPr>
          <w:p/>
        </w:tc>
        <w:tc>
          <w:tcPr>
            <w:tcW w:type="dxa" w:w="1661"/>
          </w:tcPr>
          <w:p>
            <w:pPr>
              <w:pStyle w:val="null3"/>
            </w:pPr>
            <w:r>
              <w:rPr>
                <w:rFonts w:ascii="仿宋_GB2312" w:hAnsi="仿宋_GB2312" w:cs="仿宋_GB2312" w:eastAsia="仿宋_GB2312"/>
              </w:rPr>
              <w:t>工作重点与难点分析及对策</w:t>
            </w:r>
          </w:p>
        </w:tc>
        <w:tc>
          <w:tcPr>
            <w:tcW w:type="dxa" w:w="2492"/>
          </w:tcPr>
          <w:p>
            <w:pPr>
              <w:pStyle w:val="null3"/>
            </w:pPr>
            <w:r>
              <w:rPr>
                <w:rFonts w:ascii="仿宋_GB2312" w:hAnsi="仿宋_GB2312" w:cs="仿宋_GB2312" w:eastAsia="仿宋_GB2312"/>
              </w:rPr>
              <w:t>工作重点与难点分析及对策。按其响应程度计0-8分。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商务、技术偏差表.docx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响应文件中对后期服务等合同主要条款进行响应，根据响应情况赋0-5分。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商务、技术偏差表.docx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具有2022年3月至今的同类业绩（以合同签订日期为准），提供合同复印件加盖公章，每个计2分，满分10分。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商务、技术偏差表.docx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针对该项目的人员配备和组织安排，公司项目负责人、技术人员专业性强，人员素质高，服务优良。项目管理人员配备，满足项目需求，0-10分。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商务、技术偏差表.docx</w:t>
            </w:r>
          </w:p>
        </w:tc>
      </w:tr>
      <w:tr>
        <w:tc>
          <w:tcPr>
            <w:tcW w:type="dxa" w:w="831"/>
            <w:vMerge/>
          </w:tcPr>
          <w:p/>
        </w:tc>
        <w:tc>
          <w:tcPr>
            <w:tcW w:type="dxa" w:w="1661"/>
          </w:tcPr>
          <w:p>
            <w:pPr>
              <w:pStyle w:val="null3"/>
            </w:pPr>
            <w:r>
              <w:rPr>
                <w:rFonts w:ascii="仿宋_GB2312" w:hAnsi="仿宋_GB2312" w:cs="仿宋_GB2312" w:eastAsia="仿宋_GB2312"/>
              </w:rPr>
              <w:t>承诺措施</w:t>
            </w:r>
          </w:p>
        </w:tc>
        <w:tc>
          <w:tcPr>
            <w:tcW w:type="dxa" w:w="2492"/>
          </w:tcPr>
          <w:p>
            <w:pPr>
              <w:pStyle w:val="null3"/>
            </w:pPr>
            <w:r>
              <w:rPr>
                <w:rFonts w:ascii="仿宋_GB2312" w:hAnsi="仿宋_GB2312" w:cs="仿宋_GB2312" w:eastAsia="仿宋_GB2312"/>
              </w:rPr>
              <w:t>针对本项目的服务承诺及措施。按其响应程度计0-7分。 （7分）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商务、技术偏差表.docx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满足招标文件要求且最终报价最低的供应商的价格为基准价，其价格分为满分。 其他供应商的价格分统一按照下列公式计算：投标报价得分=（基准价/投标报价）×价格权值×100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详见附件：商务、技术偏差表.docx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