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版本号：YC25103003（CGQ）20250328001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临潼区秦文化旅游区管理委员会环卫保洁服务项目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YC25103003（CGQ）</w:t>
      </w:r>
      <w:r>
        <w:br/>
      </w:r>
      <w:r>
        <w:br/>
      </w:r>
      <w:r>
        <w:br/>
      </w:r>
    </w:p>
    <w:p>
      <w:pPr>
        <w:pStyle w:val="null3"/>
        <w:jc w:val="center"/>
        <w:outlineLvl w:val="2"/>
      </w:pPr>
      <w:r>
        <w:rPr>
          <w:rFonts w:ascii="仿宋_GB2312" w:hAnsi="仿宋_GB2312" w:cs="仿宋_GB2312" w:eastAsia="仿宋_GB2312"/>
          <w:sz w:val="28"/>
          <w:b/>
        </w:rPr>
        <w:t>西安市临潼区秦始皇兵马俑博物馆服务区管理委员会</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西安市临潼区秦始皇兵马俑博物馆服务区管理委员会</w:t>
      </w:r>
      <w:r>
        <w:rPr>
          <w:rFonts w:ascii="仿宋_GB2312" w:hAnsi="仿宋_GB2312" w:cs="仿宋_GB2312" w:eastAsia="仿宋_GB2312"/>
        </w:rPr>
        <w:t>委托，拟对</w:t>
      </w:r>
      <w:r>
        <w:rPr>
          <w:rFonts w:ascii="仿宋_GB2312" w:hAnsi="仿宋_GB2312" w:cs="仿宋_GB2312" w:eastAsia="仿宋_GB2312"/>
        </w:rPr>
        <w:t>临潼区秦文化旅游区管理委员会环卫保洁服务项目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YC25103003（CGQ）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临潼区秦文化旅游区管理委员会环卫保洁服务项目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秦俑村村道、商业街区、广场、公园、临马路道路及管委会门口保洁及公厕保洁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采购包1（临潼区秦文化旅游区管理委员会环卫保洁服务项目）：属于专门面向中小企业采购。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财务审计报告：提供近三年任意一年度经审计的财务审计报告(包括审计报告、资产负债表、利润表、现金流量表、所有者权益变动表及其附注，成立时间至开标时间不足一年的可提供成立后任意时段的资产负债表）或投标截止时间前六个月内其基本账户银行出具的资信证明及基本开户信息或政府采购信用担保机构出具的担保函</w:t>
      </w:r>
    </w:p>
    <w:p>
      <w:pPr>
        <w:pStyle w:val="null3"/>
      </w:pPr>
      <w:r>
        <w:rPr>
          <w:rFonts w:ascii="仿宋_GB2312" w:hAnsi="仿宋_GB2312" w:cs="仿宋_GB2312" w:eastAsia="仿宋_GB2312"/>
        </w:rPr>
        <w:t>4、税收缴纳证明：提供投标截止时间前6个月内任意一个月的纳税证明或完税证明（以税款所属期为准，依法免税的应提供相关证明材料）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5、社会保障资金缴纳证明：提供投标截止时间前6个月内任意一个月的社保缴费凭据或社保机构开具的社会保险参保缴费情况证明（以税款所属期为准，依法不需要缴纳社会保障资金的应提供相关证明材料）</w:t>
      </w:r>
    </w:p>
    <w:p>
      <w:pPr>
        <w:pStyle w:val="null3"/>
      </w:pPr>
      <w:r>
        <w:rPr>
          <w:rFonts w:ascii="仿宋_GB2312" w:hAnsi="仿宋_GB2312" w:cs="仿宋_GB2312" w:eastAsia="仿宋_GB2312"/>
        </w:rPr>
        <w:t>6、无重大违法记录书面声明：参加政府采购活动前三年内，在经营活动中没有重大违法记录的书面声明</w:t>
      </w:r>
    </w:p>
    <w:p>
      <w:pPr>
        <w:pStyle w:val="null3"/>
      </w:pPr>
      <w:r>
        <w:rPr>
          <w:rFonts w:ascii="仿宋_GB2312" w:hAnsi="仿宋_GB2312" w:cs="仿宋_GB2312" w:eastAsia="仿宋_GB2312"/>
        </w:rPr>
        <w:t>7、履行合同所必需的书面声明：履行合同所必需的设备和专业技术能力的书面声明</w:t>
      </w:r>
    </w:p>
    <w:p>
      <w:pPr>
        <w:pStyle w:val="null3"/>
      </w:pPr>
      <w:r>
        <w:rPr>
          <w:rFonts w:ascii="仿宋_GB2312" w:hAnsi="仿宋_GB2312" w:cs="仿宋_GB2312" w:eastAsia="仿宋_GB2312"/>
        </w:rPr>
        <w:t>8、信用截图：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p>
      <w:pPr>
        <w:pStyle w:val="null3"/>
      </w:pPr>
      <w:r>
        <w:rPr>
          <w:rFonts w:ascii="仿宋_GB2312" w:hAnsi="仿宋_GB2312" w:cs="仿宋_GB2312" w:eastAsia="仿宋_GB2312"/>
        </w:rPr>
        <w:t>9、落实政府采购政策需满足的资格要求：本项目为专门面向中小企业项目，供应商应为中型企业或小型、微型企业或监狱企业或残疾人福利性单位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西安市临潼区秦始皇兵马俑博物馆服务区管理委员会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临潼区代王街办兵马俑服务区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严二艳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15339125391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马瑾瑜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029-83992983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代理服务费收费标准：成交供应商在领取中标通知书时，招标代理服务费参照计价格【2002】1980号及发改办价格【2003】857号文件规定标准计算，向“亿诚建设项目管理有限公司”缴纳。 户名：亿诚建设项目管理有限公司 开户行：中国民生银行西安吉祥路支行 账号：699295538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西安市临潼区秦始皇兵马俑博物馆服务区管理委员会</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西安市临潼区秦始皇兵马俑博物馆服务区管理委员会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西安市临潼区秦始皇兵马俑博物馆服务区管理委员会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合格。满足采购人需求，符合国家及行业相关法律法规的标准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联系人：马瑾瑜</w:t>
      </w:r>
    </w:p>
    <w:p>
      <w:pPr>
        <w:pStyle w:val="null3"/>
      </w:pPr>
      <w:r>
        <w:rPr>
          <w:rFonts w:ascii="仿宋_GB2312" w:hAnsi="仿宋_GB2312" w:cs="仿宋_GB2312" w:eastAsia="仿宋_GB2312"/>
        </w:rPr>
        <w:t>联系电话：029-83992983</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秦俑村村道、商业街区、广场、公园、临马路及办公区门前道路保洁及公厕保洁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临潼区秦文化旅游区管理委员会环卫保洁服务项目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标的名称：临潼区秦文化旅游区管理委员会环卫保洁服务项目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服务区域</w:t>
            </w:r>
          </w:p>
        </w:tc>
        <w:tc>
          <w:tcPr>
            <w:tcW w:type="dxa" w:w="2076"/>
          </w:tcPr>
          <w:p>
            <w:pPr>
              <w:pStyle w:val="null3"/>
              <w:jc w:val="both"/>
            </w:pPr>
            <w:r>
              <w:rPr>
                <w:rFonts w:ascii="仿宋_GB2312" w:hAnsi="仿宋_GB2312" w:cs="仿宋_GB2312" w:eastAsia="仿宋_GB2312"/>
                <w:sz w:val="24"/>
              </w:rPr>
              <w:t>秦俑村村道、商业街区、广场、公园、临马路道路</w:t>
            </w:r>
            <w:r>
              <w:rPr>
                <w:rFonts w:ascii="仿宋_GB2312" w:hAnsi="仿宋_GB2312" w:cs="仿宋_GB2312" w:eastAsia="仿宋_GB2312"/>
                <w:sz w:val="24"/>
              </w:rPr>
              <w:t>及管委会门口</w:t>
            </w:r>
            <w:r>
              <w:rPr>
                <w:rFonts w:ascii="仿宋_GB2312" w:hAnsi="仿宋_GB2312" w:cs="仿宋_GB2312" w:eastAsia="仿宋_GB2312"/>
                <w:sz w:val="24"/>
              </w:rPr>
              <w:t>保洁及公厕保洁</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sz w:val="24"/>
              </w:rPr>
              <w:t>①道路清扫保洁质量要求：确保垃圾桶（箱、屋）不外溢按照人均工作量基本均衡的原则，严格按照划定的责任区和规定的工作时间进行清扫保洁，清扫保洁过程要认真、细致，确保质量，切实做到“六净六无”即车行道净、人行道净、道沿石下净、墙基树穴净、隔离带净、雨污水口净；无抛洒物、无漏扫丢堆、无积存污水、无人畜粪便、无乱倒垃圾、无焚烧树叶杂物等。清洁时必须用大扫帚进行清扫，产生的垃圾必须倒入指定的垃圾桶（屋、箱）内，不得乱堆乱倒。按规定时间进行清扫保洁，不得擅自离岗，不得凑堆，不得谝闲传。爱护清扫保洁设备和街道公共设施，损坏或丢失照价赔尝。及时清掏果皮箱，保持果皮箱有足够的容量。上街作业时必须坚持安全第一的原则，穿戴安全标志服。负责派遣专职经理，乙方人员上岗时要统一着装，遵守甲方内部各项规章制度。②负责把垃圾收集至指定垃圾箱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拟投入不少于38人参与环卫工作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（一）人员其他要求 1、年龄要求：65周岁以下； 2、形象要求：五官端正，身体协调； 3、健康要求：身体无缺陷、无疾病、无高血压等疾病； 4、品质要求：为人诚实，吃苦耐劳，无不良嗜好，有1-5年的行业清洁工作经验； 5、服装要求：保洁人员统一配置工装。工装的样式和颜色应经采购人认可和同意。每人每年两套工装。另需配置雨衣、雨鞋。 6、服务期内服务商须为所有上岗人员购买人身意外伤害保险。 7、定期对员工进行岗位培训，增强其业务能力，增强消防、安全和治安方面的责任意识及法律意识，全年培训不少于1次。 （二）为健全临潼区秦文化旅游区管理委员会环卫保洁服务项目的监督考核机制，有效地促进长效管理措施落实，进一步提高环卫作业管理质量，改善环境卫生，为市民创造良好的生产、生活和工作环境，特制定本考核办法。 1、考核对象和内容 考核对象：环卫工人和管理人员。 考核内容：日常考核和迎检考核 2、考核机制 建立日常检查与月度考核相结合的百分制考核机制，由采购人对承包人实行不定期检查和每月（每月25日至30日之间）月考核（采取暗访形式）。 有下列情形（一次性否决事项）之一，视为当月考核不合格。 （1）公司员工无理聚众闹事、上访的，造成恶劣影响的。 （2）不服从街办统一安排和调度的，造成重大失误的。 （3）一个月内被区级部门通报批评两次。 （4）被省、市通报批评的。 3、考核标准及评分办法 见附表1：《项目考核标准》。 4、服务费的兑付 由采购人组织每月30日之前完成对承包公司的考核，次月5日之前将上月考核结果送达承包公司，承包公司以考核结果为依据，申请兑付月服务费。 5、奖励和惩罚 工作受到省，每次奖8分；市通，每次奖5分；县级领导大会表扬、通报表彰的，每次奖3分；以具体通报、表扬文件为准。 在承包期内不能很好地履行承包职责，造成失误的每次扣1-5分。工作受到县级领导点名批评或局通报批评的每次扣3分。不服从管理，不听从安排，未按时完成工作任务，书面次警告一次扣1分，两次警告扣3分，三次予以终止合同。 所有奖励惩罚计入当月考核得分。（三）供应商其他要求 1、供应商必须建立规范的档案管理制度，包括人员档案资料、文书档案与管委会上传下达的相关文件等。 2、根据本项目采购需求，提供有针对性的管委会地面清扫，道路及重点区域实时巡查清扫、冲洗等服务方案。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合格。满足采购人需求，符合国家及行业相关法律法规的标准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服务期第一个月，达到采购人规定的验收合格标准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服务期第十二个月，达到采购人规定的验收合格标准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（1）由采购人每月30日之前完成对供应商的考核，次月5日之前将上月考核结果送达供应商，供应商以考核结果为依据，申请兑付月服务费。 （2）报价费用含税固定总价一次性包死，超支或亏损由承包人自行承担，不受市场价格变化因素的影响。 （3）供应商不得将项目非法分包或转包给任何单位和个人，否则，终止合同，供应商因此承担相应的责任。 （4）承包期间，所有项目如因未执行国家相关政策法规、或因管理不善、服务不规范等原因引发事故、纠纷，或受到主管部门的处罚，由承包方承担全部责任并承担相应费用。 （5）遵守《中华人民共和国民法典》、《中华人民共和国劳动法》、《中华人民共和国劳动合同法》的相关规定，根据所承担的服务内容，与公司员工确立合法的劳动/劳务关系，签订正式用工合同，规范用工行为，保障员工合法权益。 （6）保障环卫工人权益要充分保障保洁员的工资、社会保险及各项福利待遇，严格落实保洁员个人防护、防暑降温和疾病防控，加强相关技能培训，使保洁员队伍逐步向专业化、年轻化方向发展。 （7）道路清扫保洁人员工资执行西安市最新市容环卫行业工资标准。 （8）保洁员福利待遇涵盖:工资、降温费、取暖费、高温津贴、节日慰问、体检等费用等。 （9）加强协调配合，妥善解决现有人员和装备的安置(须优先安置现有环卫作业人员)，确保现有人员稳步过渡、作业顺利移交。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三年任意一年度经审计的财务审计报告(包括审计报告、资产负债表、利润表、现金流量表、所有者权益变动表及其附注，成立时间至开标时间不足一年的可提供成立后任意时段的资产负债表）或投标截止时间前六个月内其基本账户银行出具的资信证明及基本开户信息或政府采购信用担保机构出具的担保函。供应商需在项目电子化交易系统中按要求上传响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 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近三年任意一年度经审计的财务审计报告(包括审计报告、资产负债表、利润表、现金流量表、所有者权益变动表及其附注，成立时间至开标时间不足一年的可提供成立后任意时段的资产负债表）或投标截止时间前六个月内其基本账户银行出具的资信证明及基本开户信息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提供投标截止时间前6个月内任意一个月的社保缴费凭据或社保机构开具的社会保险参保缴费情况证明（以税款所属期为准，依法不需要缴纳社会保障资金的应提供相关证明材料）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技术、商务响应 残疾人福利性单位声明函 中小企业声明函 服务方案 标的清单 供应商应提交的相关资格证明材料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有效性审查-响应文件的签署、盖章</w:t>
            </w:r>
          </w:p>
        </w:tc>
        <w:tc>
          <w:tcPr>
            <w:tcW w:type="dxa" w:w="3322"/>
          </w:tcPr>
          <w:p>
            <w:pPr>
              <w:pStyle w:val="null3"/>
            </w:pPr>
            <w:r>
              <w:rPr>
                <w:rFonts w:ascii="仿宋_GB2312" w:hAnsi="仿宋_GB2312" w:cs="仿宋_GB2312" w:eastAsia="仿宋_GB2312"/>
              </w:rPr>
              <w:t>响应文件上法定代表人或其授权代表人的签字齐全或加盖公章，符合文件要求</w:t>
            </w:r>
          </w:p>
        </w:tc>
        <w:tc>
          <w:tcPr>
            <w:tcW w:type="dxa" w:w="1661"/>
          </w:tcPr>
          <w:p>
            <w:pPr>
              <w:pStyle w:val="null3"/>
            </w:pPr>
            <w:r>
              <w:rPr>
                <w:rFonts w:ascii="仿宋_GB2312" w:hAnsi="仿宋_GB2312" w:cs="仿宋_GB2312" w:eastAsia="仿宋_GB2312"/>
              </w:rPr>
              <w:t>中小企业声明函 业绩 供应商应提交的相关资格证明材料 报价表 响应文件封面 残疾人福利性单位声明函 技术、商务响应 服务方案 标的清单 法定代表人证明书及授权委托书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有效性审查-报价唯一</w:t>
            </w:r>
          </w:p>
        </w:tc>
        <w:tc>
          <w:tcPr>
            <w:tcW w:type="dxa" w:w="3322"/>
          </w:tcPr>
          <w:p>
            <w:pPr>
              <w:pStyle w:val="null3"/>
            </w:pPr>
            <w:r>
              <w:rPr>
                <w:rFonts w:ascii="仿宋_GB2312" w:hAnsi="仿宋_GB2312" w:cs="仿宋_GB2312" w:eastAsia="仿宋_GB2312"/>
              </w:rPr>
              <w:t>只有一个有效报价，未提交选择性报价，且报价不高于或不等于采购预算和采购最高限价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响应性审查-对磋商文件响应程度</w:t>
            </w:r>
          </w:p>
        </w:tc>
        <w:tc>
          <w:tcPr>
            <w:tcW w:type="dxa" w:w="3322"/>
          </w:tcPr>
          <w:p>
            <w:pPr>
              <w:pStyle w:val="null3"/>
            </w:pPr>
            <w:r>
              <w:rPr>
                <w:rFonts w:ascii="仿宋_GB2312" w:hAnsi="仿宋_GB2312" w:cs="仿宋_GB2312" w:eastAsia="仿宋_GB2312"/>
              </w:rPr>
              <w:t>全面响应，未提出采购人不能接受的附加条件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1.制定详细的服务方案，以及总体设想和质量、安全目标，根据方案的合理性、完整性、可行性和详细程度进行评审，优良得5-10分；一般得3-5分；较差得0-3分。 2、针对员工具有技术培训计划、员工自身安全教育培训计划和方案，优良得5-10分；一般得3-5分；较差得0-3分。 3、环卫一体化服务质量自检及整改措施，优良得5-10分；一般得3-5分；较差得0-3分。 4、具有完善的监督巡查体制，善于现场解决沟通，能给出专业反馈，优良得3-5分；一般得1-3分；较差得0-1分。 5、投标人针对本项目提供具体可行的质量保证措施，优良得3-5分；一般得1-3分；较差得0-1分。 不提供的不计分。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1、评标委员会根据投标人针对本项目拟派团队的工作能力、工作经验等方面提供证明材料。 2、根据投标人提供的针对本项目拟派的其他管理人员配置（包括但不限于保洁负责人、巡查管理人员）（至少应有：具体成员姓名、年龄、性别、工作经验相关资格证书、职责等）。 优良得5-10分；一般得3-5分；较差得0-3分。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拟配备机具情况</w:t>
            </w:r>
          </w:p>
        </w:tc>
        <w:tc>
          <w:tcPr>
            <w:tcW w:type="dxa" w:w="2492"/>
          </w:tcPr>
          <w:p>
            <w:pPr>
              <w:pStyle w:val="null3"/>
            </w:pPr>
            <w:r>
              <w:rPr>
                <w:rFonts w:ascii="仿宋_GB2312" w:hAnsi="仿宋_GB2312" w:cs="仿宋_GB2312" w:eastAsia="仿宋_GB2312"/>
              </w:rPr>
              <w:t>本项目所投入的工具配置专业合理，完全满足本项目需求。 优良得5-10分；一般得3-5分；较差得0-3分。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 优良得5-10分；一般得3-5分；较差得0-3分。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评标委员会根据各投标人针对本项目的承诺（从管理质量、服务质量、项目实施、接受监督等方面）。 优良得5-10分；一般得3-5分；较差得0-3分。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近三年（2021年1月1日至今）承接过的类似项目业绩，每提供一个得2.5分。（以合同协议书或中标通知书为准）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采用低价优先法计算，满足磋商文件要求且投标价格最低的投标报价为评标基准价，其价格分为满分10分。 投标报价得分＝（评审基准价/投标报价）×10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详见附件：技术、商务响应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