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版本号：LXZB202500320250313001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临灞路连接线及康复东西路提升改造项目监理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LXZB2025003</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陕西龙翔卓宝建设项目管理有限公司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陕西龙翔卓宝建设项目管理有限公司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临灞路连接线及康复东西路提升改造项目监理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LXZB2025003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临灞路连接线及康复东西路提升改造项目监理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本项目主要内容为打通骊山大道断头路、改造康复东西路，新建临灞路连接线 826 米，改建修整道骊山大道东延 875.03 米、康复东西路沿现状道路改扩长度1.18 千米范围内的全部监理工作。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采购包1（临灞路连接线及康复东西路提升改造项目监理）：属于专门面向中小企业采购。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w:t>
      </w:r>
    </w:p>
    <w:p>
      <w:pPr>
        <w:pStyle w:val="null3"/>
      </w:pPr>
      <w:r>
        <w:rPr>
          <w:rFonts w:ascii="仿宋_GB2312" w:hAnsi="仿宋_GB2312" w:cs="仿宋_GB2312" w:eastAsia="仿宋_GB2312"/>
        </w:rPr>
        <w:t>2、法人代表证明书或法人授权委托书：法人代表证明书或法人授权委托书，后附法人及被委托人身份证（法定代表人直接参加磋商的只需提供法定代表人身份证）；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3、供应商资质：供应商应具备建设行政主管部门颁发的工程监理综合资质或市政公用工程监理乙级及以上资质，并在人员、设备、资金等方面具备相应的能力；</w:t>
      </w:r>
    </w:p>
    <w:p>
      <w:pPr>
        <w:pStyle w:val="null3"/>
      </w:pPr>
      <w:r>
        <w:rPr>
          <w:rFonts w:ascii="仿宋_GB2312" w:hAnsi="仿宋_GB2312" w:cs="仿宋_GB2312" w:eastAsia="仿宋_GB2312"/>
        </w:rPr>
        <w:t>4、总监理工程师资质：拟派项目总监具有市政公用工程专业注册监理工程师执业资格，且在本单位注册；</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的供应商，不得为列入中国政府采购网（www.ccgp.gov.cn）政府采购严重违法失信行为记录名单中的供应商（提供获取竞争性磋商文件当日起至开标截止前任意一天内的查询结果网页截图并加盖公章）；</w:t>
      </w:r>
    </w:p>
    <w:p>
      <w:pPr>
        <w:pStyle w:val="null3"/>
      </w:pPr>
      <w:r>
        <w:rPr>
          <w:rFonts w:ascii="仿宋_GB2312" w:hAnsi="仿宋_GB2312" w:cs="仿宋_GB2312" w:eastAsia="仿宋_GB2312"/>
        </w:rPr>
        <w:t>6、非联合体声明：本项目不接受联合体磋商。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付雷鸣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陕西龙翔卓宝建设项目管理有限公司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陕西省西安市高陵区鹿祥路600号利民花园商铺东5号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15129219132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采购包1：443,137.00元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按国家计价格【2002】1980号文件《招标代理服务收费管理暂行办法》、国家发展改革委员会办公厅颁发的《关于招标代理服务费收费有关问题的通知》、《调整后的招标代理服务收费标准》（发改价格【2011】534号）文件规定标准向成交人计取代理服务费。中标单位在领取中标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陕西龙翔卓宝建设项目管理有限公司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陕西龙翔卓宝建设项目管理有限公司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陕西龙翔卓宝建设项目管理有限公司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联系人：赵玺</w:t>
      </w:r>
    </w:p>
    <w:p>
      <w:pPr>
        <w:pStyle w:val="null3"/>
      </w:pPr>
      <w:r>
        <w:rPr>
          <w:rFonts w:ascii="仿宋_GB2312" w:hAnsi="仿宋_GB2312" w:cs="仿宋_GB2312" w:eastAsia="仿宋_GB2312"/>
        </w:rPr>
        <w:t>联系电话：15129219132</w:t>
      </w:r>
    </w:p>
    <w:p>
      <w:pPr>
        <w:pStyle w:val="null3"/>
      </w:pPr>
      <w:r>
        <w:rPr>
          <w:rFonts w:ascii="仿宋_GB2312" w:hAnsi="仿宋_GB2312" w:cs="仿宋_GB2312" w:eastAsia="仿宋_GB2312"/>
        </w:rPr>
        <w:t>地址：陕西省西安市高陵区鹿祥路 600号利民花园商铺东5号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本项目主要内容为打通骊山大道断头路、改造康复东西路，新建临灞路连接线 826 米，改建修整道骊山大道东延 875.03 米、康复东西路沿现状道路改扩长度1.18 千米范围内的全部监理工作。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443,137.00</w:t>
      </w:r>
    </w:p>
    <w:p>
      <w:pPr>
        <w:pStyle w:val="null3"/>
      </w:pPr>
      <w:r>
        <w:rPr>
          <w:rFonts w:ascii="仿宋_GB2312" w:hAnsi="仿宋_GB2312" w:cs="仿宋_GB2312" w:eastAsia="仿宋_GB2312"/>
        </w:rPr>
        <w:t>采购包最高限价（元）: 443,137.00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临灞路连接线及康复东西路提升改造项目监理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443,137.00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标的名称：临灞路连接线及康复东西路提升改造项目监理</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采购需求</w:t>
            </w:r>
          </w:p>
        </w:tc>
        <w:tc>
          <w:tcPr>
            <w:tcW w:type="dxa" w:w="2076"/>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项目概况：</w:t>
            </w:r>
            <w:r>
              <w:rPr>
                <w:rFonts w:ascii="仿宋_GB2312" w:hAnsi="仿宋_GB2312" w:cs="仿宋_GB2312" w:eastAsia="仿宋_GB2312"/>
                <w:sz w:val="21"/>
              </w:rPr>
              <w:t>本项目主要内容为打通骊山大道断头路、改造康复东西路，新建临灞路连接线</w:t>
            </w:r>
            <w:r>
              <w:rPr>
                <w:rFonts w:ascii="仿宋_GB2312" w:hAnsi="仿宋_GB2312" w:cs="仿宋_GB2312" w:eastAsia="仿宋_GB2312"/>
                <w:sz w:val="21"/>
              </w:rPr>
              <w:t xml:space="preserve">826 </w:t>
            </w:r>
            <w:r>
              <w:rPr>
                <w:rFonts w:ascii="仿宋_GB2312" w:hAnsi="仿宋_GB2312" w:cs="仿宋_GB2312" w:eastAsia="仿宋_GB2312"/>
                <w:sz w:val="21"/>
              </w:rPr>
              <w:t>米，改建修整道骊山大道东延</w:t>
            </w:r>
            <w:r>
              <w:rPr>
                <w:rFonts w:ascii="仿宋_GB2312" w:hAnsi="仿宋_GB2312" w:cs="仿宋_GB2312" w:eastAsia="仿宋_GB2312"/>
                <w:sz w:val="21"/>
              </w:rPr>
              <w:t xml:space="preserve">875.03 </w:t>
            </w:r>
            <w:r>
              <w:rPr>
                <w:rFonts w:ascii="仿宋_GB2312" w:hAnsi="仿宋_GB2312" w:cs="仿宋_GB2312" w:eastAsia="仿宋_GB2312"/>
                <w:sz w:val="21"/>
              </w:rPr>
              <w:t>米、康复东西路沿现状道路改扩长度</w:t>
            </w:r>
            <w:r>
              <w:rPr>
                <w:rFonts w:ascii="仿宋_GB2312" w:hAnsi="仿宋_GB2312" w:cs="仿宋_GB2312" w:eastAsia="仿宋_GB2312"/>
                <w:sz w:val="21"/>
              </w:rPr>
              <w:t xml:space="preserve">1.18 </w:t>
            </w:r>
            <w:r>
              <w:rPr>
                <w:rFonts w:ascii="仿宋_GB2312" w:hAnsi="仿宋_GB2312" w:cs="仿宋_GB2312" w:eastAsia="仿宋_GB2312"/>
                <w:sz w:val="21"/>
              </w:rPr>
              <w:t>千米范围内的全部监理工作。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2）服务内容：</w:t>
            </w:r>
          </w:p>
          <w:p>
            <w:pPr>
              <w:pStyle w:val="null3"/>
              <w:ind w:firstLine="210"/>
              <w:jc w:val="left"/>
            </w:pPr>
            <w:r>
              <w:rPr>
                <w:rFonts w:ascii="仿宋_GB2312" w:hAnsi="仿宋_GB2312" w:cs="仿宋_GB2312" w:eastAsia="仿宋_GB2312"/>
                <w:sz w:val="21"/>
              </w:rPr>
              <w:t>（一）工程地点：陕西省西安市临潼区</w:t>
            </w:r>
          </w:p>
          <w:p>
            <w:pPr>
              <w:pStyle w:val="null3"/>
              <w:spacing w:before="105" w:after="105"/>
              <w:ind w:left="210"/>
              <w:jc w:val="both"/>
            </w:pPr>
            <w:r>
              <w:rPr>
                <w:rFonts w:ascii="仿宋_GB2312" w:hAnsi="仿宋_GB2312" w:cs="仿宋_GB2312" w:eastAsia="仿宋_GB2312"/>
                <w:sz w:val="21"/>
              </w:rPr>
              <w:t>（二）</w:t>
            </w:r>
            <w:r>
              <w:rPr>
                <w:rFonts w:ascii="仿宋_GB2312" w:hAnsi="仿宋_GB2312" w:cs="仿宋_GB2312" w:eastAsia="仿宋_GB2312"/>
                <w:sz w:val="21"/>
              </w:rPr>
              <w:t>工作内容：本项目主要内容为打通骊山大道断头路、改造康复东西路，新建临灞路连接线</w:t>
            </w:r>
            <w:r>
              <w:rPr>
                <w:rFonts w:ascii="仿宋_GB2312" w:hAnsi="仿宋_GB2312" w:cs="仿宋_GB2312" w:eastAsia="仿宋_GB2312"/>
                <w:sz w:val="21"/>
              </w:rPr>
              <w:t xml:space="preserve"> 826 米，改建修整道骊山大道东延 875.03 米、康复东西路沿现状道路改扩长度1.18 千米范围内的全部监理工作。招标范围：临灞路连接线及康复东西路提升改造项目监理，具体包括全部监理服务。</w:t>
            </w:r>
          </w:p>
          <w:p>
            <w:pPr>
              <w:pStyle w:val="null3"/>
              <w:numPr>
                <w:ilvl w:val="0"/>
                <w:numId w:val="1"/>
              </w:numPr>
              <w:jc w:val="left"/>
            </w:pPr>
            <w:r>
              <w:rPr>
                <w:rFonts w:ascii="仿宋_GB2312" w:hAnsi="仿宋_GB2312" w:cs="仿宋_GB2312" w:eastAsia="仿宋_GB2312"/>
                <w:sz w:val="21"/>
              </w:rPr>
              <w:t>服务要求</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rPr>
              <w:t>.审查承包人各项施工准备工作，在征得委托人同意后下达开工指令。</w:t>
            </w:r>
          </w:p>
          <w:p>
            <w:pPr>
              <w:pStyle w:val="null3"/>
              <w:ind w:firstLine="480"/>
              <w:jc w:val="left"/>
            </w:pPr>
            <w:r>
              <w:rPr>
                <w:rFonts w:ascii="仿宋_GB2312" w:hAnsi="仿宋_GB2312" w:cs="仿宋_GB2312" w:eastAsia="仿宋_GB2312"/>
                <w:sz w:val="21"/>
              </w:rPr>
              <w:t>2.审查承包人编制的施工组织设计、施工方案及施工进度计划并督促其实施。 重点审査其中的质量安全技术措施、专项施工方案与工程建设强制性标准的符合性。</w:t>
            </w:r>
          </w:p>
          <w:p>
            <w:pPr>
              <w:pStyle w:val="null3"/>
              <w:ind w:firstLine="480"/>
              <w:jc w:val="left"/>
            </w:pPr>
            <w:r>
              <w:rPr>
                <w:rFonts w:ascii="仿宋_GB2312" w:hAnsi="仿宋_GB2312" w:cs="仿宋_GB2312" w:eastAsia="仿宋_GB2312"/>
                <w:sz w:val="21"/>
              </w:rPr>
              <w:t>3.审查承包人或委托人提供的材料、设备清单及其所列的规格与数量。</w:t>
            </w:r>
          </w:p>
          <w:p>
            <w:pPr>
              <w:pStyle w:val="null3"/>
              <w:ind w:firstLine="480"/>
              <w:jc w:val="left"/>
            </w:pPr>
            <w:r>
              <w:rPr>
                <w:rFonts w:ascii="仿宋_GB2312" w:hAnsi="仿宋_GB2312" w:cs="仿宋_GB2312" w:eastAsia="仿宋_GB2312"/>
                <w:sz w:val="21"/>
              </w:rPr>
              <w:t>4.督促、检查承包人严格执行合同和严格按照国家有关技术规范、标准、规程以及设计图纸、文件的要求进行施工和安装活动，督促其完善各阶段的工程技术资料。</w:t>
            </w:r>
          </w:p>
          <w:p>
            <w:pPr>
              <w:pStyle w:val="null3"/>
              <w:ind w:firstLine="480"/>
              <w:jc w:val="left"/>
            </w:pPr>
            <w:r>
              <w:rPr>
                <w:rFonts w:ascii="仿宋_GB2312" w:hAnsi="仿宋_GB2312" w:cs="仿宋_GB2312" w:eastAsia="仿宋_GB2312"/>
                <w:sz w:val="21"/>
              </w:rPr>
              <w:t>5.协助采购人组织设计交底和图纸会审会议。</w:t>
            </w:r>
          </w:p>
          <w:p>
            <w:pPr>
              <w:pStyle w:val="null3"/>
              <w:ind w:firstLine="480"/>
              <w:jc w:val="left"/>
            </w:pPr>
            <w:r>
              <w:rPr>
                <w:rFonts w:ascii="仿宋_GB2312" w:hAnsi="仿宋_GB2312" w:cs="仿宋_GB2312" w:eastAsia="仿宋_GB2312"/>
                <w:sz w:val="21"/>
              </w:rPr>
              <w:t>6.督促执行施工合同，协调委托人与承包人之间的争议。</w:t>
            </w:r>
          </w:p>
          <w:p>
            <w:pPr>
              <w:pStyle w:val="null3"/>
              <w:ind w:firstLine="480"/>
              <w:jc w:val="left"/>
            </w:pPr>
            <w:r>
              <w:rPr>
                <w:rFonts w:ascii="仿宋_GB2312" w:hAnsi="仿宋_GB2312" w:cs="仿宋_GB2312" w:eastAsia="仿宋_GB2312"/>
                <w:sz w:val="21"/>
              </w:rPr>
              <w:t>7.检查施工过程的主要部位、环节，进行隐蔽工程的施工验收签证，组织验收各分部分项工程。</w:t>
            </w:r>
          </w:p>
          <w:p>
            <w:pPr>
              <w:pStyle w:val="null3"/>
              <w:ind w:firstLine="480"/>
              <w:jc w:val="left"/>
            </w:pPr>
            <w:r>
              <w:rPr>
                <w:rFonts w:ascii="仿宋_GB2312" w:hAnsi="仿宋_GB2312" w:cs="仿宋_GB2312" w:eastAsia="仿宋_GB2312"/>
                <w:sz w:val="21"/>
              </w:rPr>
              <w:t>8.审核用于工程的主要设备材料、构件、成品的出厂合格证和试验报告等质量证明，禁止不合格的材料、构件等在工程上使用。</w:t>
            </w:r>
          </w:p>
          <w:p>
            <w:pPr>
              <w:pStyle w:val="null3"/>
              <w:ind w:firstLine="480"/>
              <w:jc w:val="left"/>
            </w:pPr>
            <w:r>
              <w:rPr>
                <w:rFonts w:ascii="仿宋_GB2312" w:hAnsi="仿宋_GB2312" w:cs="仿宋_GB2312" w:eastAsia="仿宋_GB2312"/>
                <w:sz w:val="21"/>
              </w:rPr>
              <w:t>9.审查承包人编制的工程进度计划，检查、签收承包人填报的工程计划及进度报表，随时提出监理意见，控制工程进度的实施。</w:t>
            </w:r>
          </w:p>
          <w:p>
            <w:pPr>
              <w:pStyle w:val="null3"/>
              <w:ind w:firstLine="480"/>
              <w:jc w:val="left"/>
            </w:pPr>
            <w:r>
              <w:rPr>
                <w:rFonts w:ascii="仿宋_GB2312" w:hAnsi="仿宋_GB2312" w:cs="仿宋_GB2312" w:eastAsia="仿宋_GB2312"/>
                <w:sz w:val="21"/>
              </w:rPr>
              <w:t>10.对于重大的设计修改和工程洽商，除提出监理意见之外，应征得委托人的同意，由设计单位出具设计变更文件；对不影响结构安全和使用功能的一般设计变更，监理人提出意见，由委托人负责协调设计单位签发。</w:t>
            </w:r>
          </w:p>
          <w:p>
            <w:pPr>
              <w:pStyle w:val="null3"/>
              <w:ind w:firstLine="480"/>
              <w:jc w:val="left"/>
            </w:pPr>
            <w:r>
              <w:rPr>
                <w:rFonts w:ascii="仿宋_GB2312" w:hAnsi="仿宋_GB2312" w:cs="仿宋_GB2312" w:eastAsia="仿宋_GB2312"/>
                <w:sz w:val="21"/>
              </w:rPr>
              <w:t>11.审核承包人已完成的合格的工程量，协助委托人搞好工程计量及变更工程量的核增和核减；监理人应根据工程施工承包合同的付款约定，签发进度款付款凭证，报委托人核定支付，严格进行投资控制。凡涉及增加和减少工程投资的设计变更、经济签证，监理人提出具体意见后报委托人签认后生效。</w:t>
            </w:r>
          </w:p>
          <w:p>
            <w:pPr>
              <w:pStyle w:val="null3"/>
              <w:ind w:firstLine="480"/>
              <w:jc w:val="left"/>
            </w:pPr>
            <w:r>
              <w:rPr>
                <w:rFonts w:ascii="仿宋_GB2312" w:hAnsi="仿宋_GB2312" w:cs="仿宋_GB2312" w:eastAsia="仿宋_GB2312"/>
                <w:sz w:val="21"/>
              </w:rPr>
              <w:t>12.监督检查承包人的管理制度、质量保证体系、文明施工及安全生产保证体系。</w:t>
            </w:r>
          </w:p>
          <w:p>
            <w:pPr>
              <w:pStyle w:val="null3"/>
              <w:ind w:firstLine="480"/>
              <w:jc w:val="left"/>
            </w:pPr>
            <w:r>
              <w:rPr>
                <w:rFonts w:ascii="仿宋_GB2312" w:hAnsi="仿宋_GB2312" w:cs="仿宋_GB2312" w:eastAsia="仿宋_GB2312"/>
                <w:sz w:val="21"/>
              </w:rPr>
              <w:t>13.协助委托人召集设计部门、承包人分析及处理工程质量事故，监督处理方案的实施，并进行质量验收。</w:t>
            </w:r>
          </w:p>
          <w:p>
            <w:pPr>
              <w:pStyle w:val="null3"/>
              <w:ind w:firstLine="480"/>
              <w:jc w:val="left"/>
            </w:pPr>
            <w:r>
              <w:rPr>
                <w:rFonts w:ascii="仿宋_GB2312" w:hAnsi="仿宋_GB2312" w:cs="仿宋_GB2312" w:eastAsia="仿宋_GB2312"/>
                <w:sz w:val="21"/>
              </w:rPr>
              <w:t>14.根据需要定期组织工程现场协调会，协调有关工程问题，并出具会议纪要。</w:t>
            </w:r>
          </w:p>
          <w:p>
            <w:pPr>
              <w:pStyle w:val="null3"/>
              <w:ind w:firstLine="480"/>
              <w:jc w:val="left"/>
            </w:pPr>
            <w:r>
              <w:rPr>
                <w:rFonts w:ascii="仿宋_GB2312" w:hAnsi="仿宋_GB2312" w:cs="仿宋_GB2312" w:eastAsia="仿宋_GB2312"/>
                <w:sz w:val="21"/>
              </w:rPr>
              <w:t>15.根据承包人提出的整体工程竣工验收申请报告，负责组织竣工初验，签署由承包人提出的竣工验收报告；协助委托人组织工程竣工验收，并提供工程项目施工阶段质量评估意见；监理工作完成后，监理人应提交一份监理工作总结供委托人存档。</w:t>
            </w:r>
          </w:p>
          <w:p>
            <w:pPr>
              <w:pStyle w:val="null3"/>
              <w:ind w:firstLine="480"/>
              <w:jc w:val="left"/>
            </w:pPr>
            <w:r>
              <w:rPr>
                <w:rFonts w:ascii="仿宋_GB2312" w:hAnsi="仿宋_GB2312" w:cs="仿宋_GB2312" w:eastAsia="仿宋_GB2312"/>
                <w:sz w:val="21"/>
              </w:rPr>
              <w:t>16.配合工程预、结算，根据工程施工承包合同的具体约定，对工程结算进行审核与签证，并提出竣工结算审核意见书。</w:t>
            </w:r>
          </w:p>
          <w:p>
            <w:pPr>
              <w:pStyle w:val="null3"/>
              <w:ind w:firstLine="480"/>
              <w:jc w:val="left"/>
            </w:pPr>
            <w:r>
              <w:rPr>
                <w:rFonts w:ascii="仿宋_GB2312" w:hAnsi="仿宋_GB2312" w:cs="仿宋_GB2312" w:eastAsia="仿宋_GB2312"/>
                <w:sz w:val="21"/>
              </w:rPr>
              <w:t>17.编制、整理工程监理归档文件并报委托人。</w:t>
            </w:r>
          </w:p>
          <w:p>
            <w:pPr>
              <w:pStyle w:val="null3"/>
              <w:ind w:firstLine="480"/>
              <w:jc w:val="left"/>
            </w:pPr>
            <w:r>
              <w:rPr>
                <w:rFonts w:ascii="仿宋_GB2312" w:hAnsi="仿宋_GB2312" w:cs="仿宋_GB2312" w:eastAsia="仿宋_GB2312"/>
                <w:sz w:val="21"/>
              </w:rPr>
              <w:t>18.其他依法应由监理履行的职责。</w:t>
            </w:r>
          </w:p>
          <w:p>
            <w:pPr>
              <w:pStyle w:val="null3"/>
              <w:ind w:firstLine="480"/>
              <w:jc w:val="left"/>
            </w:pPr>
            <w:r>
              <w:rPr>
                <w:rFonts w:ascii="仿宋_GB2312" w:hAnsi="仿宋_GB2312" w:cs="仿宋_GB2312" w:eastAsia="仿宋_GB2312"/>
                <w:sz w:val="21"/>
              </w:rPr>
              <w:t>在本合同履行期内，根据相关规定及现行国家标准及委托单位的要求，严格完成项目过程中及验收时的工作。保留工作所用的图纸、报告及记录监理工作的相关文件。工程竣工后，应当按照档案管理规定将监理有关文件归档，包括但不限于以下内容：施工阶段监理资料的管理、施工阶段的监理月报、监理工作总结、设备采购监理与设备监造。</w:t>
            </w:r>
          </w:p>
          <w:p>
            <w:pPr>
              <w:pStyle w:val="null3"/>
              <w:ind w:firstLine="480"/>
              <w:jc w:val="left"/>
            </w:pPr>
            <w:r>
              <w:rPr>
                <w:rFonts w:ascii="仿宋_GB2312" w:hAnsi="仿宋_GB2312" w:cs="仿宋_GB2312" w:eastAsia="仿宋_GB2312"/>
                <w:sz w:val="21"/>
              </w:rPr>
              <w:t>所有监理资料必须及时整理、真实完整、分类有序。</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拟派监理服务团队的人员数量、专业配置、技术经验应完全满足项目的需要。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合同签订后240日历天，监理进场日期具体以招标人通知为准，直至整体工程竣工验收合格并办理竣工结算结束为止。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陕西省西安市临潼区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符合国家法律法规、规章制度要求，行业、地方标准及采购人要求。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在项目完工后 </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在本项目工程竣工验收审计结束后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本项目缺陷责任期结束后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中标单位在确认中标之后须线下递交响应文件，正本壹份、副本贰份，电子文件（U盘）贰份，电子文件随正本密封。若线上电子响应文件与纸质响应文件不一致以电子响应文件为准；若正本和副本不符，以正本为准。线下递交文件地点：陕西省西安市高陵区鹿祥路 600号利民花园商铺东5号。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供应商须提供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 投标截止时间前6个月内）及基本存款账户开户许可证（基本账户信息）；</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有独立承担民事责任能力的法人、其他组织或自然人，投标人是法人或其他组织的应提供营业执照等证明文件，自然人的提供有效的自然人身份证明；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供应商应具备建设行政主管部门颁发的工程监理综合资质或市政公用工程监理乙级及以上资质，并在人员、设备、资金等方面具备相应的能力；</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总监理工程师资质</w:t>
            </w:r>
          </w:p>
        </w:tc>
        <w:tc>
          <w:tcPr>
            <w:tcW w:type="dxa" w:w="3322"/>
          </w:tcPr>
          <w:p>
            <w:pPr>
              <w:pStyle w:val="null3"/>
            </w:pPr>
            <w:r>
              <w:rPr>
                <w:rFonts w:ascii="仿宋_GB2312" w:hAnsi="仿宋_GB2312" w:cs="仿宋_GB2312" w:eastAsia="仿宋_GB2312"/>
              </w:rPr>
              <w:t>拟派项目总监具有市政公用工程专业注册监理工程师执业资格，且在本单位注册；</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列入中国政府采购网（www.ccgp.gov.cn）政府采购严重违法失信行为记录名单中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标的清单 报价表 响应函 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服务内容及服务邀请应答表 商务应答表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应满足磋商文件要求的服务期限</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监理工作目标及依据</w:t>
            </w:r>
          </w:p>
        </w:tc>
        <w:tc>
          <w:tcPr>
            <w:tcW w:type="dxa" w:w="2492"/>
          </w:tcPr>
          <w:p>
            <w:pPr>
              <w:pStyle w:val="null3"/>
            </w:pPr>
            <w:r>
              <w:rPr>
                <w:rFonts w:ascii="仿宋_GB2312" w:hAnsi="仿宋_GB2312" w:cs="仿宋_GB2312" w:eastAsia="仿宋_GB2312"/>
              </w:rPr>
              <w:t>结合本项目实际，工作目标明确、工作程序科学合理、工作制度齐全，其中：a.工作目标明确、工作程序科学合理、工作制度齐全得（4-8]分； b.工作目标基本明确、工作程序基本合理、有工作制度得[0-4]分。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结合本项目实际，质量目标明确、保证措施完善、合理、可行，其中： a.措施合理、完善、可行，得（4-8]分； b.措施较合理，基本完善、可行性一般，得[0-4]分。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环境保护、文明施工控制措施</w:t>
            </w:r>
          </w:p>
        </w:tc>
        <w:tc>
          <w:tcPr>
            <w:tcW w:type="dxa" w:w="2492"/>
          </w:tcPr>
          <w:p>
            <w:pPr>
              <w:pStyle w:val="null3"/>
            </w:pPr>
            <w:r>
              <w:rPr>
                <w:rFonts w:ascii="仿宋_GB2312" w:hAnsi="仿宋_GB2312" w:cs="仿宋_GB2312" w:eastAsia="仿宋_GB2312"/>
              </w:rPr>
              <w:t>结合本项目实际，工作目标明确、保证措施完善、合理、可行，其中： a.措施合理、完善、可行，得（4-8]分； b.措施较合理，基本完善、可行性一般，得[0-4]分。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结合本项目实际，有效控制工期，目标明确、保证措施完善、合理、可行、有工期优化和补救措施，其中： a.措施合理、完善、可行，得（4-8]分； b.措施较合理，基本完善、可行性一般，得[0-4]分。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结合本项目实际，投资控制措施完善、合理、可行、有造价风险分析和防索赔措施，其中： a.措施合理 、完善、可行，得（4-8]分； b.措施较合理，基本完善、可行性一般，得[0-4]分。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信息、合同及监理资料协调管理措施</w:t>
            </w:r>
          </w:p>
        </w:tc>
        <w:tc>
          <w:tcPr>
            <w:tcW w:type="dxa" w:w="2492"/>
          </w:tcPr>
          <w:p>
            <w:pPr>
              <w:pStyle w:val="null3"/>
            </w:pPr>
            <w:r>
              <w:rPr>
                <w:rFonts w:ascii="仿宋_GB2312" w:hAnsi="仿宋_GB2312" w:cs="仿宋_GB2312" w:eastAsia="仿宋_GB2312"/>
              </w:rPr>
              <w:t>结合本项目实际，合同管理、监理档案管理、信息管理措施全面合理，其中： a.措施全面合理，完全符合项目实际，得（4-8]分； b.措施基本合理，基本符合要求，得[0-4]分。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施工中各种矛盾组织协调及保修阶段的服务工作</w:t>
            </w:r>
          </w:p>
        </w:tc>
        <w:tc>
          <w:tcPr>
            <w:tcW w:type="dxa" w:w="2492"/>
          </w:tcPr>
          <w:p>
            <w:pPr>
              <w:pStyle w:val="null3"/>
            </w:pPr>
            <w:r>
              <w:rPr>
                <w:rFonts w:ascii="仿宋_GB2312" w:hAnsi="仿宋_GB2312" w:cs="仿宋_GB2312" w:eastAsia="仿宋_GB2312"/>
              </w:rPr>
              <w:t>结合本项目实际，矛盾分析及化解措施合理、可行、具有较强的可操作性、有完整的保修阶段监理服务工作计划，其中： a.内容合理、完善、可行，得（4-8]分； b.内容较合理，基本完善、可行性一般，得[ 0-4]分。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本工程难点部位的监理措施，重点部位的控制方法和旁站监理部位清单</w:t>
            </w:r>
          </w:p>
        </w:tc>
        <w:tc>
          <w:tcPr>
            <w:tcW w:type="dxa" w:w="2492"/>
          </w:tcPr>
          <w:p>
            <w:pPr>
              <w:pStyle w:val="null3"/>
            </w:pPr>
            <w:r>
              <w:rPr>
                <w:rFonts w:ascii="仿宋_GB2312" w:hAnsi="仿宋_GB2312" w:cs="仿宋_GB2312" w:eastAsia="仿宋_GB2312"/>
              </w:rPr>
              <w:t>结合本项目实际，难点部位分析准确、清单描述清晰、旁站计划科学合理，其中： a.难点部位分析准确、清单描述清晰、旁站计划科学合理，得（4-8]分； b.难点部位分析基本准确、清单描述清晰程度一般、旁站计划一般，得[0-4]分。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拟派项目组成人员</w:t>
            </w:r>
          </w:p>
        </w:tc>
        <w:tc>
          <w:tcPr>
            <w:tcW w:type="dxa" w:w="2492"/>
          </w:tcPr>
          <w:p>
            <w:pPr>
              <w:pStyle w:val="null3"/>
            </w:pPr>
            <w:r>
              <w:rPr>
                <w:rFonts w:ascii="仿宋_GB2312" w:hAnsi="仿宋_GB2312" w:cs="仿宋_GB2312" w:eastAsia="仿宋_GB2312"/>
              </w:rPr>
              <w:t>1、拟投入的项目团队人员数量、分工情况，对监理工作能有效支撑且岗位职责明确清晰，评标委员会根据响应文件在0-4分之间自主赋分。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拟派项目人员职称情况</w:t>
            </w:r>
          </w:p>
        </w:tc>
        <w:tc>
          <w:tcPr>
            <w:tcW w:type="dxa" w:w="2492"/>
          </w:tcPr>
          <w:p>
            <w:pPr>
              <w:pStyle w:val="null3"/>
            </w:pPr>
            <w:r>
              <w:rPr>
                <w:rFonts w:ascii="仿宋_GB2312" w:hAnsi="仿宋_GB2312" w:cs="仿宋_GB2312" w:eastAsia="仿宋_GB2312"/>
              </w:rPr>
              <w:t xml:space="preserve"> 2、项目组成员具有相关专业中级及以上职称的，每提供1名得2分，满分6分，以供应商响应文件中所附的人员证书复印件为准，不提供则不得分。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结合本项目实际，对后期服务的保证措施、能够处理各类紧急事项的措施，保证项目实施，能够保证在规定的时间解决问题。承诺内容切实可行得（3-6]分；后期服务基本齐全，针对性一般得[0-3]分。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供应商提供的 2021年 01 月 01 日至今类似项目监理业绩，每一份业绩计2分；满分10分，（提供合同或中标通知书复印件或扫描件，时间以通知书落款时间或合同签订时间为准 ，并加盖单位公章）。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×100 注：1、计算分数时四舍五入取小数点后两位； 2、落实政府采购政策参见政府采购政策评分标准； 3、本项目专门面向中小企业采购，不再执行价格评审优惠的扶持政策。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详见附件：临灞路连接线及康复东西路提升改造项目监理合同文本.docx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