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版本号：LXZB202500120250223001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临灞路连接线及康复东西路提升改造项目勘察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LXZB2025001</w:t>
      </w:r>
      <w:r>
        <w:br/>
      </w:r>
      <w:r>
        <w:br/>
      </w:r>
      <w:r>
        <w:br/>
      </w:r>
    </w:p>
    <w:p>
      <w:pPr>
        <w:pStyle w:val="null3"/>
        <w:jc w:val="center"/>
        <w:outlineLvl w:val="2"/>
      </w:pPr>
      <w:r>
        <w:rPr>
          <w:rFonts w:ascii="仿宋_GB2312" w:hAnsi="仿宋_GB2312" w:cs="仿宋_GB2312" w:eastAsia="仿宋_GB2312"/>
          <w:sz w:val="28"/>
          <w:b/>
        </w:rPr>
        <w:t>西安市临潼区住房和城乡建设局</w:t>
      </w:r>
    </w:p>
    <w:p>
      <w:pPr>
        <w:pStyle w:val="null3"/>
        <w:jc w:val="center"/>
        <w:outlineLvl w:val="2"/>
      </w:pPr>
      <w:r>
        <w:rPr>
          <w:rFonts w:ascii="仿宋_GB2312" w:hAnsi="仿宋_GB2312" w:cs="仿宋_GB2312" w:eastAsia="仿宋_GB2312"/>
          <w:sz w:val="28"/>
          <w:b/>
        </w:rPr>
        <w:t>陕西龙翔卓宝建设项目管理有限公司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陕西龙翔卓宝建设项目管理有限公司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西安市临潼区住房和城乡建设局</w:t>
      </w:r>
      <w:r>
        <w:rPr>
          <w:rFonts w:ascii="仿宋_GB2312" w:hAnsi="仿宋_GB2312" w:cs="仿宋_GB2312" w:eastAsia="仿宋_GB2312"/>
        </w:rPr>
        <w:t>委托，拟对</w:t>
      </w:r>
      <w:r>
        <w:rPr>
          <w:rFonts w:ascii="仿宋_GB2312" w:hAnsi="仿宋_GB2312" w:cs="仿宋_GB2312" w:eastAsia="仿宋_GB2312"/>
        </w:rPr>
        <w:t>临灞路连接线及康复东西路提升改造项目勘察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LXZB2025001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临灞路连接线及康复东西路提升改造项目勘察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本项目主要内容为打通骊山大道断头路、改造康复东西路，新建临灞路连接线 826 米，改建修整道骊山大道东延 875.03 米、康复东西路沿现状道路改扩长度1.18 千米范围内的全部勘察工作。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采购包1（临灞路连接线及康复东西路提升改造项目勘察）：属于专门面向中小企业采购。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2、法定代表人授权委托书：法定代表人授权委托书（附法定代表人、被授权人身份证复印件并加盖公章）和被授权人身份证原件。（法定代表人参加投标只须提供法定代表人身份证明书及身份证原件）；</w:t>
      </w:r>
    </w:p>
    <w:p>
      <w:pPr>
        <w:pStyle w:val="null3"/>
      </w:pPr>
      <w:r>
        <w:rPr>
          <w:rFonts w:ascii="仿宋_GB2312" w:hAnsi="仿宋_GB2312" w:cs="仿宋_GB2312" w:eastAsia="仿宋_GB2312"/>
        </w:rPr>
        <w:t>3、企业资质：供应商须具有工程勘察综合类甲级资质或工程勘察专业类（岩土工程）乙级及以上资质；</w:t>
      </w:r>
    </w:p>
    <w:p>
      <w:pPr>
        <w:pStyle w:val="null3"/>
      </w:pPr>
      <w:r>
        <w:rPr>
          <w:rFonts w:ascii="仿宋_GB2312" w:hAnsi="仿宋_GB2312" w:cs="仿宋_GB2312" w:eastAsia="仿宋_GB2312"/>
        </w:rPr>
        <w:t>4、项目负责人资格：项目负责人须提供注册土木工程师（岩土）执业资格证书；</w:t>
      </w:r>
    </w:p>
    <w:p>
      <w:pPr>
        <w:pStyle w:val="null3"/>
      </w:pPr>
      <w:r>
        <w:rPr>
          <w:rFonts w:ascii="仿宋_GB2312" w:hAnsi="仿宋_GB2312" w:cs="仿宋_GB2312" w:eastAsia="仿宋_GB2312"/>
        </w:rPr>
        <w:t>5、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pPr>
        <w:pStyle w:val="null3"/>
      </w:pPr>
      <w:r>
        <w:rPr>
          <w:rFonts w:ascii="仿宋_GB2312" w:hAnsi="仿宋_GB2312" w:cs="仿宋_GB2312" w:eastAsia="仿宋_GB2312"/>
        </w:rPr>
        <w:t>6、供应商关联关系声明：单位负责人为同一人或者存在控股、管理关系的不同单位，不得参加同一合同包下的政府采购活动；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7、中小企业采购情况：本项目为专门面向中小企业采购</w:t>
      </w:r>
    </w:p>
    <w:p>
      <w:pPr>
        <w:pStyle w:val="null3"/>
      </w:pPr>
      <w:r>
        <w:rPr>
          <w:rFonts w:ascii="仿宋_GB2312" w:hAnsi="仿宋_GB2312" w:cs="仿宋_GB2312" w:eastAsia="仿宋_GB2312"/>
        </w:rPr>
        <w:t>8、非联合体声明：本次磋商不接受联合体磋商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临潼区人民南路41号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13720510555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陕西龙翔卓宝建设项目管理有限公司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陕西省西安市高陵区鹿祥路600号利民花园商铺东5号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15129219132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价格【2002】1980号文件《招标代理服务收费管理暂行办法》、国家发展改革委员会办公厅颁发的《关于招标代理服务费收费有关问题的通知》、《调整后的招标代理服务收费标准》（发改价格【2011】534号）文件规定标准向成交人计取代理服务费。中标单位在领取中标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西安市临潼区住房和城乡建设局</w:t>
      </w:r>
      <w:r>
        <w:rPr>
          <w:rFonts w:ascii="仿宋_GB2312" w:hAnsi="仿宋_GB2312" w:cs="仿宋_GB2312" w:eastAsia="仿宋_GB2312"/>
        </w:rPr>
        <w:t>和</w:t>
      </w:r>
      <w:r>
        <w:rPr>
          <w:rFonts w:ascii="仿宋_GB2312" w:hAnsi="仿宋_GB2312" w:cs="仿宋_GB2312" w:eastAsia="仿宋_GB2312"/>
        </w:rPr>
        <w:t>陕西龙翔卓宝建设项目管理有限公司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陕西龙翔卓宝建设项目管理有限公司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陕西龙翔卓宝建设项目管理有限公司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联系人：赵玺</w:t>
      </w:r>
    </w:p>
    <w:p>
      <w:pPr>
        <w:pStyle w:val="null3"/>
      </w:pPr>
      <w:r>
        <w:rPr>
          <w:rFonts w:ascii="仿宋_GB2312" w:hAnsi="仿宋_GB2312" w:cs="仿宋_GB2312" w:eastAsia="仿宋_GB2312"/>
        </w:rPr>
        <w:t>联系电话：15129219132</w:t>
      </w:r>
    </w:p>
    <w:p>
      <w:pPr>
        <w:pStyle w:val="null3"/>
      </w:pPr>
      <w:r>
        <w:rPr>
          <w:rFonts w:ascii="仿宋_GB2312" w:hAnsi="仿宋_GB2312" w:cs="仿宋_GB2312" w:eastAsia="仿宋_GB2312"/>
        </w:rPr>
        <w:t>地址：陕西省西安市高陵区鹿祥路600号利民花园商铺东5号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本项目主要内容为打通骊山大道断头路、改造康复东西路，新建临灞路连接线 826 米，改建修整道骊山大道东延 875.03 米、康复东西路沿现状道路改扩长度1.18 千米范围内的全部勘察工作。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临灞路连接线及康复东西路提升改造项目勘察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标的名称：临灞路连接线及康复东西路提升改造项目勘察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0"/>
              </w:rPr>
              <w:t>1、项目名称：</w:t>
            </w:r>
            <w:r>
              <w:rPr>
                <w:rFonts w:ascii="仿宋_GB2312" w:hAnsi="仿宋_GB2312" w:cs="仿宋_GB2312" w:eastAsia="仿宋_GB2312"/>
                <w:sz w:val="20"/>
              </w:rPr>
              <w:t>临灞路连接线及康复东西路提升改造项目勘察</w:t>
            </w:r>
          </w:p>
          <w:p>
            <w:pPr>
              <w:pStyle w:val="null3"/>
              <w:jc w:val="left"/>
            </w:pPr>
            <w:r>
              <w:rPr>
                <w:rFonts w:ascii="仿宋_GB2312" w:hAnsi="仿宋_GB2312" w:cs="仿宋_GB2312" w:eastAsia="仿宋_GB2312"/>
                <w:sz w:val="20"/>
              </w:rPr>
              <w:t>2、采购内容：</w:t>
            </w:r>
            <w:r>
              <w:rPr>
                <w:rFonts w:ascii="仿宋_GB2312" w:hAnsi="仿宋_GB2312" w:cs="仿宋_GB2312" w:eastAsia="仿宋_GB2312"/>
                <w:sz w:val="20"/>
              </w:rPr>
              <w:t>本项目主要内容为打通骊山大道断头路、改造康复东西路，新建临灞路连接线</w:t>
            </w:r>
            <w:r>
              <w:rPr>
                <w:rFonts w:ascii="仿宋_GB2312" w:hAnsi="仿宋_GB2312" w:cs="仿宋_GB2312" w:eastAsia="仿宋_GB2312"/>
                <w:sz w:val="20"/>
              </w:rPr>
              <w:t>826 米，改建修整道骊山大道东延 875.03 米、康复东西路沿现状道路改扩长度1.18 千米范围内的全部勘察工作</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服务周期</w:t>
            </w:r>
            <w:r>
              <w:rPr>
                <w:rFonts w:ascii="仿宋_GB2312" w:hAnsi="仿宋_GB2312" w:cs="仿宋_GB2312" w:eastAsia="仿宋_GB2312"/>
                <w:sz w:val="20"/>
              </w:rPr>
              <w:t>：自合同签订之日起</w:t>
            </w:r>
            <w:r>
              <w:rPr>
                <w:rFonts w:ascii="仿宋_GB2312" w:hAnsi="仿宋_GB2312" w:cs="仿宋_GB2312" w:eastAsia="仿宋_GB2312"/>
                <w:sz w:val="20"/>
              </w:rPr>
              <w:t>15日历天内。</w:t>
            </w:r>
          </w:p>
          <w:p>
            <w:pPr>
              <w:pStyle w:val="null3"/>
              <w:jc w:val="left"/>
            </w:pPr>
            <w:r>
              <w:rPr>
                <w:rFonts w:ascii="仿宋_GB2312" w:hAnsi="仿宋_GB2312" w:cs="仿宋_GB2312" w:eastAsia="仿宋_GB2312"/>
                <w:sz w:val="20"/>
              </w:rPr>
              <w:t>4、商务及服务要求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付款条件（进度和方式）：在合同签订且首次提交勘察成果文件后，达到付款条件起10日内，支付合同总金额的30%,在本项目勘察通过评审后，达到付款条件起10日内，支付合同总金额的60%,本项目整体通过甲方验收后 ，达到付款条件起10日内，支付合同总金额的10%。</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2）售后服务要求：甲方在验收备案审核过程中若发现错误或异议处，乙方须配合甲方无偿进行方案修改，直至验收合格。</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3）采购标的需实现的采购目标：满足项目工程</w:t>
            </w:r>
            <w:r>
              <w:rPr>
                <w:rFonts w:ascii="仿宋_GB2312" w:hAnsi="仿宋_GB2312" w:cs="仿宋_GB2312" w:eastAsia="仿宋_GB2312"/>
                <w:sz w:val="20"/>
              </w:rPr>
              <w:t>勘察</w:t>
            </w:r>
            <w:r>
              <w:rPr>
                <w:rFonts w:ascii="仿宋_GB2312" w:hAnsi="仿宋_GB2312" w:cs="仿宋_GB2312" w:eastAsia="仿宋_GB2312"/>
                <w:sz w:val="20"/>
              </w:rPr>
              <w:t>需要。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4）需执行的标准要求：满足相关技术规范及深度要求。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5）成果：</w:t>
            </w:r>
            <w:r>
              <w:rPr>
                <w:rFonts w:ascii="仿宋_GB2312" w:hAnsi="仿宋_GB2312" w:cs="仿宋_GB2312" w:eastAsia="仿宋_GB2312"/>
                <w:sz w:val="20"/>
              </w:rPr>
              <w:t>相关勘察成果</w:t>
            </w:r>
            <w:r>
              <w:rPr>
                <w:rFonts w:ascii="仿宋_GB2312" w:hAnsi="仿宋_GB2312" w:cs="仿宋_GB2312" w:eastAsia="仿宋_GB2312"/>
                <w:sz w:val="20"/>
              </w:rPr>
              <w:t>文件及电子版文件。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项目完成后，供应商提出验收申请，采购人组织对供应商的服务及报告进行验收，验收合格出具验收合格单。 验收依据：1.采购文件；2.响应文件；3.方案评审通过记录。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在合同签订且首次提交勘察成果文件后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在本项目勘察通过评审后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本项目整体通过甲方验收后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按合同要求提供服务或服务质量不能满足采购方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本项目所属行为其他未列明行业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经审计的财务报告（包括“四表一注”即《资产负债表》《利润表》《现金流量表》《所有者权益变动表》及其附注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法定代表人授权委托书（附法定代表人、被授权人身份证复印件并加盖公章）和被授权人身份证原件。（法定代表人参加投标只须提供法定代表人身份证明书及身份证原件）；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供应商须具有工程勘察综合类甲级资质或工程勘察专业类（岩土工程）乙级及以上资质；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项目负责人须提供注册土木工程师（岩土）执业资格证书；</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中小企业采购情况</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企业业绩.docx 标的清单 报价表 响应函 相关资格证明材料.docx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项目编制方案，方案内容涵盖本项目全部内容（总体实施方案全面、详细完整、可操作性强、细节考虑到位计（18～26]分； 总体实施方案较全面、较详细完整、可操作性较强计（8～18]分； 内容一般计（0～8]分)；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本项目服务质量的保障控制措施，措施描述完整、可操作性强、细节描述详细优越的计（7～10]分； 有相对的操作性，描述良好计（4～7]分； 内容一般的计（0～4]分；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服务进度保障措施</w:t>
            </w:r>
          </w:p>
        </w:tc>
        <w:tc>
          <w:tcPr>
            <w:tcW w:type="dxa" w:w="2492"/>
          </w:tcPr>
          <w:p>
            <w:pPr>
              <w:pStyle w:val="null3"/>
            </w:pPr>
            <w:r>
              <w:rPr>
                <w:rFonts w:ascii="仿宋_GB2312" w:hAnsi="仿宋_GB2312" w:cs="仿宋_GB2312" w:eastAsia="仿宋_GB2312"/>
              </w:rPr>
              <w:t>确保本项目服务进度的保障措施，措施描述完整、可操作性强、细节描述详细优越的计（10～14]分； 有相对的操作性，描述良好计（5～10]分； 内容一般的计（0～5]分；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根据拟投入本项目的勘察设备的种类、数量等进行综合赋分，根据响应程度计0～8分。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对后期服务的保证措施 、能够处理各类紧急事项的措施，保证项目实施，能够保证在规定的时间解决问题。承诺内容切实可行计（4-8]分；后期服务基本齐全，针对性一般计[0-4]分。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提供保密措施，保密措施考虑全面、内容完整、重点突出、具有针对性和可行性的计（5-7]分；保密措施考虑较为全面、内容较为完整、重点内容体现、较有针对性和可行性的计（2-5]分；保密措施考虑不够全面、内容不够完整、重点内容未体现、针对性和可行性的较差的计[0-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组织机构设置及主要人员安排</w:t>
            </w:r>
          </w:p>
        </w:tc>
        <w:tc>
          <w:tcPr>
            <w:tcW w:type="dxa" w:w="2492"/>
          </w:tcPr>
          <w:p>
            <w:pPr>
              <w:pStyle w:val="null3"/>
            </w:pPr>
            <w:r>
              <w:rPr>
                <w:rFonts w:ascii="仿宋_GB2312" w:hAnsi="仿宋_GB2312" w:cs="仿宋_GB2312" w:eastAsia="仿宋_GB2312"/>
              </w:rPr>
              <w:t>项目部组织结构设置合理、项目部关键岗位人员配备及职责划分清晰明确计(5-7]分，组织结构设置基本可行，项目部关键岗位及职责划分基本满足计(2-5]分，组织结构设置欠缺，项目部关键岗位及职责划分薄弱较差计(0-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2022年01月至今完成类似项目业绩，一项得2分，最多得10分。（须附类似项目业绩的成交（中标）通知书或合同的复印件或扫描件，并加盖公章）。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满足磋商文件要求且投标价格最低的磋商报价为评标基准价，其价格分为满分。其他供应商的价格分统一按照下列公式计算：投标报价得分=（评标基准价/投标报价）×投标报价总分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详见附件：勘察合同.docx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