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版本号：LXZB202500220250223001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临灞路连接线及康复东西路提升改造项目设计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LXZB2025002</w:t>
      </w:r>
      <w:r>
        <w:br/>
      </w:r>
      <w:r>
        <w:br/>
      </w:r>
      <w:r>
        <w:br/>
      </w:r>
    </w:p>
    <w:p>
      <w:pPr>
        <w:pStyle w:val="null3"/>
        <w:jc w:val="center"/>
        <w:outlineLvl w:val="2"/>
      </w:pPr>
      <w:r>
        <w:rPr>
          <w:rFonts w:ascii="仿宋_GB2312" w:hAnsi="仿宋_GB2312" w:cs="仿宋_GB2312" w:eastAsia="仿宋_GB2312"/>
          <w:sz w:val="28"/>
          <w:b/>
        </w:rPr>
        <w:t>西安市临潼区住房和城乡建设局</w:t>
      </w:r>
    </w:p>
    <w:p>
      <w:pPr>
        <w:pStyle w:val="null3"/>
        <w:jc w:val="center"/>
        <w:outlineLvl w:val="2"/>
      </w:pPr>
      <w:r>
        <w:rPr>
          <w:rFonts w:ascii="仿宋_GB2312" w:hAnsi="仿宋_GB2312" w:cs="仿宋_GB2312" w:eastAsia="仿宋_GB2312"/>
          <w:sz w:val="28"/>
          <w:b/>
        </w:rPr>
        <w:t>陕西龙翔卓宝建设项目管理有限公司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陕西龙翔卓宝建设项目管理有限公司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西安市临潼区住房和城乡建设局</w:t>
      </w:r>
      <w:r>
        <w:rPr>
          <w:rFonts w:ascii="仿宋_GB2312" w:hAnsi="仿宋_GB2312" w:cs="仿宋_GB2312" w:eastAsia="仿宋_GB2312"/>
        </w:rPr>
        <w:t>委托，拟对</w:t>
      </w:r>
      <w:r>
        <w:rPr>
          <w:rFonts w:ascii="仿宋_GB2312" w:hAnsi="仿宋_GB2312" w:cs="仿宋_GB2312" w:eastAsia="仿宋_GB2312"/>
        </w:rPr>
        <w:t>临灞路连接线及康复东西路提升改造项目设计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LXZB2025002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临灞路连接线及康复东西路提升改造项目设计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本项目主要内容为打通骊山大道断头路、改造康复东西路，新建临灞路连接线 826 米，改建修整道骊山大道东延 875.03 米、康复东西路沿现状道路改扩长度1.18 千米范围内的全部设计工作。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采购包1（临灞路连接线及康复东西路提升改造项目设计）：属于专门面向中小企业采购。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2、法定代表人授权委托书：法定代表人授权委托书（附法定代表人、被授权人身份证复印件并加盖公章）和被授权人身份证原件。（法定代表人参加投标只须提供法定代表人身份证明书及身份证原件）；</w:t>
      </w:r>
    </w:p>
    <w:p>
      <w:pPr>
        <w:pStyle w:val="null3"/>
      </w:pPr>
      <w:r>
        <w:rPr>
          <w:rFonts w:ascii="仿宋_GB2312" w:hAnsi="仿宋_GB2312" w:cs="仿宋_GB2312" w:eastAsia="仿宋_GB2312"/>
        </w:rPr>
        <w:t>3、企业资质：供应商需具备建设行政主管部门颁发的市政行业(道路工程)专业设计乙级及以上资质或市政行业工程设计乙级及以上资质或工程设计综合资质甲级资质；</w:t>
      </w:r>
    </w:p>
    <w:p>
      <w:pPr>
        <w:pStyle w:val="null3"/>
      </w:pPr>
      <w:r>
        <w:rPr>
          <w:rFonts w:ascii="仿宋_GB2312" w:hAnsi="仿宋_GB2312" w:cs="仿宋_GB2312" w:eastAsia="仿宋_GB2312"/>
        </w:rPr>
        <w:t>4、项目负责人资格：供应商拟项目负责人须具备市政公用工程专业二级及以上注册建筑师资格或市政公用工程专业高级职称；</w:t>
      </w:r>
    </w:p>
    <w:p>
      <w:pPr>
        <w:pStyle w:val="null3"/>
      </w:pPr>
      <w:r>
        <w:rPr>
          <w:rFonts w:ascii="仿宋_GB2312" w:hAnsi="仿宋_GB2312" w:cs="仿宋_GB2312" w:eastAsia="仿宋_GB2312"/>
        </w:rPr>
        <w:t>5、企业信誉：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获取竞争性磋商文件当日起至开标截止前任意一天内的查询结果网页截图并加盖公章）；</w:t>
      </w:r>
    </w:p>
    <w:p>
      <w:pPr>
        <w:pStyle w:val="null3"/>
      </w:pPr>
      <w:r>
        <w:rPr>
          <w:rFonts w:ascii="仿宋_GB2312" w:hAnsi="仿宋_GB2312" w:cs="仿宋_GB2312" w:eastAsia="仿宋_GB2312"/>
        </w:rPr>
        <w:t>6、供应商关联关系声明：单位负责人为同一人或者存在控股、管理关系的不同单位，不得参加同一合同包下的政府采购活动；</w:t>
      </w:r>
    </w:p>
    <w:p>
      <w:pPr>
        <w:pStyle w:val="null3"/>
      </w:pPr>
      <w:r>
        <w:rPr>
          <w:rFonts w:ascii="仿宋_GB2312" w:hAnsi="仿宋_GB2312" w:cs="仿宋_GB2312" w:eastAsia="仿宋_GB2312"/>
        </w:rPr>
        <w:t>7、中小企业采购情况：本项目为专门面向中小企业采购；</w:t>
      </w:r>
    </w:p>
    <w:p>
      <w:pPr>
        <w:pStyle w:val="null3"/>
      </w:pPr>
      <w:r>
        <w:rPr>
          <w:rFonts w:ascii="仿宋_GB2312" w:hAnsi="仿宋_GB2312" w:cs="仿宋_GB2312" w:eastAsia="仿宋_GB2312"/>
        </w:rPr>
        <w:t>8、非联合体声明：本次磋商不接受联合体磋商。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临潼区人民南路41号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13720510555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陕西龙翔卓宝建设项目管理有限公司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陕西省西安市高陵区鹿祥路600号利民花园商铺东5号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15129219132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采购包1：588,319.00元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价格【2002】1980号文件《招标代理服务收费管理暂行办法》、国家发展改革委员会办公厅颁发的《关于招标代理服务费收费有关问题的通知》、《调整后的招标代理服务收费标准》（发改价格【2011】534号）文件规定标准向成交人计取代理服务费。中标单位在领取中标通知书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西安市临潼区住房和城乡建设局</w:t>
      </w:r>
      <w:r>
        <w:rPr>
          <w:rFonts w:ascii="仿宋_GB2312" w:hAnsi="仿宋_GB2312" w:cs="仿宋_GB2312" w:eastAsia="仿宋_GB2312"/>
        </w:rPr>
        <w:t>和</w:t>
      </w:r>
      <w:r>
        <w:rPr>
          <w:rFonts w:ascii="仿宋_GB2312" w:hAnsi="仿宋_GB2312" w:cs="仿宋_GB2312" w:eastAsia="仿宋_GB2312"/>
        </w:rPr>
        <w:t>陕西龙翔卓宝建设项目管理有限公司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陕西龙翔卓宝建设项目管理有限公司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陕西龙翔卓宝建设项目管理有限公司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符合项目验收标准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陕西龙翔卓宝建设项目管理有限公司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陕西龙翔卓宝建设项目管理有限公司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陕西龙翔卓宝建设项目管理有限公司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联系人：赵玺</w:t>
      </w:r>
    </w:p>
    <w:p>
      <w:pPr>
        <w:pStyle w:val="null3"/>
      </w:pPr>
      <w:r>
        <w:rPr>
          <w:rFonts w:ascii="仿宋_GB2312" w:hAnsi="仿宋_GB2312" w:cs="仿宋_GB2312" w:eastAsia="仿宋_GB2312"/>
        </w:rPr>
        <w:t>联系电话：15129219132</w:t>
      </w:r>
    </w:p>
    <w:p>
      <w:pPr>
        <w:pStyle w:val="null3"/>
      </w:pPr>
      <w:r>
        <w:rPr>
          <w:rFonts w:ascii="仿宋_GB2312" w:hAnsi="仿宋_GB2312" w:cs="仿宋_GB2312" w:eastAsia="仿宋_GB2312"/>
        </w:rPr>
        <w:t>地址：陕西省西安市高陵区鹿祥路600号利民花园商铺东5号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本项目主要内容为打通骊山大道断头路、改造康复东西路，新建临灞路连接线 826 米，改建修整道骊山大道东延 875.03 米、康复东西路沿现状道路改扩长度1.18 千米范围内的全部设计工作。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588,319.00</w:t>
      </w:r>
    </w:p>
    <w:p>
      <w:pPr>
        <w:pStyle w:val="null3"/>
      </w:pPr>
      <w:r>
        <w:rPr>
          <w:rFonts w:ascii="仿宋_GB2312" w:hAnsi="仿宋_GB2312" w:cs="仿宋_GB2312" w:eastAsia="仿宋_GB2312"/>
        </w:rPr>
        <w:t>采购包最高限价（元）: 588,319.00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临灞路连接线及康复东西路提升改造项目设计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588,319.00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标的名称：临灞路连接线及康复东西路提升改造项目设计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0"/>
              </w:rPr>
              <w:t>1、项目名称：临灞路连接线及康复东西路提升改造项目设计</w:t>
            </w:r>
          </w:p>
          <w:p>
            <w:pPr>
              <w:pStyle w:val="null3"/>
              <w:jc w:val="left"/>
            </w:pPr>
            <w:r>
              <w:rPr>
                <w:rFonts w:ascii="仿宋_GB2312" w:hAnsi="仿宋_GB2312" w:cs="仿宋_GB2312" w:eastAsia="仿宋_GB2312"/>
                <w:sz w:val="20"/>
              </w:rPr>
              <w:t>2、采购内容：本项目主要内容为打通骊山大道断头路、改造康复东西路，新建临灞路连接线 826 米，改建修整道骊山大道东延 875.03 米、康复东西路沿现状道路改扩长度1.18 千米范围内的全部设计工作。</w:t>
            </w:r>
          </w:p>
          <w:p>
            <w:pPr>
              <w:pStyle w:val="null3"/>
              <w:jc w:val="left"/>
            </w:pPr>
            <w:r>
              <w:rPr>
                <w:rFonts w:ascii="仿宋_GB2312" w:hAnsi="仿宋_GB2312" w:cs="仿宋_GB2312" w:eastAsia="仿宋_GB2312"/>
                <w:sz w:val="20"/>
              </w:rPr>
              <w:t>3、设计周期：自合同签订之日起15日历天内。</w:t>
            </w:r>
          </w:p>
          <w:p>
            <w:pPr>
              <w:pStyle w:val="null3"/>
              <w:jc w:val="left"/>
            </w:pPr>
            <w:r>
              <w:rPr>
                <w:rFonts w:ascii="仿宋_GB2312" w:hAnsi="仿宋_GB2312" w:cs="仿宋_GB2312" w:eastAsia="仿宋_GB2312"/>
                <w:sz w:val="20"/>
              </w:rPr>
              <w:t>4、商务及服务要求</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付款条件（进度和方式）：在合同签订且首次提交设计成果文件后，达到付款条件起10日内，支付合同总金额的30%,在本项目设计通过评审后，达到付款条件起10日内，支付合同总金额的60%,本项目整体通过甲方验收后 ，达到付款条件起10日内，支付合同总金额的10%。</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2）售后服务要求：甲方在验收备案设计图纸审核过程中若发现错误或异议处，乙方须配合甲方无偿进行方案修改，直至验收合格。</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3）采购标的需实现的采购目标：满足项目工程设计需要。</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4）需执行的标准要求：满足相关技术规范及深度要求。</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5）成果：成果应包括施工图设计文件、预算文件及电子版文件。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自合同签订之日起15日历天内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项目完成后，供应商提出验收申请，采购人组织对供应商的服务及报告进行验收，验收合格出具验收合格单。 验收依据：1.采购文件；2.响应文件；3.方案评审通过记录。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在合同签订且首次提交设计成果文件后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在本项目设计通过评审后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本项目整体通过甲方验收后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按合同要求提供服务或服务质量不能满足采购方要求，乙方必须无条件提高技术，完善服务质量，否则，甲方会同监督机构、采购代理机构有权终止合同并对乙方违约行为进行追究，同时按政府采购投标人管理办法进行相应的处罚。 （三）任何一方因不可抗力原因不能履行协议时，应尽快通知对方，双方均设法补偿。如仍无法履约协议，可协商延缓或撤销协议，双方责任免除。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本项目所属行业为其他未列明行业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1、营业执照：有独立承担民事责任能力的法人、其他组织或自然人，投标人是法人或其他组织的应提供营业执照等证明文件，自然人的提供有效的自然人身份证明； 2、完税证明：供应商须提供投标截止时间前一年内，已缴纳的任意一个月的纳税证明或完税证明，纳税证明或完税证明上应有代收机构或税务机关的公章或业务专用章，依法免税的投标人应提供相关文件证明；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经审计的财务报告（包括“四表一注”即《资产负债表》《利润表》《现金流量表》《所有者权益变动表》及其附注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法定代表人授权委托书（附法定代表人、被授权人身份证复印件并加盖公章）和被授权人身份证原件。（法定代表人参加投标只须提供法定代表人身份证明书及身份证原件）；</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供应商需具备建设行政主管部门颁发的市政行业(道路工程)专业设计乙级及以上资质或市政行业工程设计乙级及以上资质或工程设计综合资质甲级资质；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项目负责人资格</w:t>
            </w:r>
          </w:p>
        </w:tc>
        <w:tc>
          <w:tcPr>
            <w:tcW w:type="dxa" w:w="3322"/>
          </w:tcPr>
          <w:p>
            <w:pPr>
              <w:pStyle w:val="null3"/>
            </w:pPr>
            <w:r>
              <w:rPr>
                <w:rFonts w:ascii="仿宋_GB2312" w:hAnsi="仿宋_GB2312" w:cs="仿宋_GB2312" w:eastAsia="仿宋_GB2312"/>
              </w:rPr>
              <w:t>供应商拟项目负责人须具备市政公用工程专业二级及以上注册建筑师资格或市政公用工程专业高级职称；</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获取竞争性磋商文件当日起至开标截止前任意一天内的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中小企业采购情况</w:t>
            </w:r>
          </w:p>
        </w:tc>
        <w:tc>
          <w:tcPr>
            <w:tcW w:type="dxa" w:w="3322"/>
          </w:tcPr>
          <w:p>
            <w:pPr>
              <w:pStyle w:val="null3"/>
            </w:pPr>
            <w:r>
              <w:rPr>
                <w:rFonts w:ascii="仿宋_GB2312" w:hAnsi="仿宋_GB2312" w:cs="仿宋_GB2312" w:eastAsia="仿宋_GB2312"/>
              </w:rPr>
              <w:t>本项目为专门面向中小企业采购；</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企业业绩.docx 标的清单 报价表 响应函 相关资格证明材料.docx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提供完善、可靠的设计实施方案：对本项目理解深刻，总体设计思路符合国家相关要求、技术规范，实施方案满足文件要求，设计内容全面、思路清晰得（8-12]分，设计内容较为全面、思路基本可行得（4-8]分，设计内容欠缺、薄弱较差得[0-4]分。 2.对本项目的重点难点进行分析，提出详细的应对措施及合理化建议：重点难点分析全面、针对性强，应对措施及合理化建议具体、全面，可实施性强得（7-10]分；重点难点分析较为可行，应对措施及合理化建议基本全面得（4-7]分；重点难点分析较为片面，应对措施及合理化建议一般得[0-4]分。 3.工作方案重点划分合理设计技术路线成熟可靠得(5-8]分，方案重点划分基本满足设计需求，设计技术路线较为可行得(2-5]分，方案针对性薄弱，技术思路较差得[0-2]分。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设计质量控制的保证措施</w:t>
            </w:r>
          </w:p>
        </w:tc>
        <w:tc>
          <w:tcPr>
            <w:tcW w:type="dxa" w:w="2492"/>
          </w:tcPr>
          <w:p>
            <w:pPr>
              <w:pStyle w:val="null3"/>
            </w:pPr>
            <w:r>
              <w:rPr>
                <w:rFonts w:ascii="仿宋_GB2312" w:hAnsi="仿宋_GB2312" w:cs="仿宋_GB2312" w:eastAsia="仿宋_GB2312"/>
              </w:rPr>
              <w:t>设计质量控制的保证措施：设计质量保障内容全面、针对性强，保证措施完整、可操作性强的，根据响应情况得（7-10]分；设计质量控制的保证措施较为完整、有力，根据响应情况得（3-7]分；提供设计质量控制的保证措施一般，根据响应情况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时间进度安排计划</w:t>
            </w:r>
          </w:p>
        </w:tc>
        <w:tc>
          <w:tcPr>
            <w:tcW w:type="dxa" w:w="2492"/>
          </w:tcPr>
          <w:p>
            <w:pPr>
              <w:pStyle w:val="null3"/>
            </w:pPr>
            <w:r>
              <w:rPr>
                <w:rFonts w:ascii="仿宋_GB2312" w:hAnsi="仿宋_GB2312" w:cs="仿宋_GB2312" w:eastAsia="仿宋_GB2312"/>
              </w:rPr>
              <w:t>时间进度安排计划：投标人提供进度管理方案，进度管理措施、进度保障内容描述清晰、完整、合理，针对性、可操作性强的，得（7-10]分；进度管理措施、进度保障等内容描述基本清晰、完整、合理的，得（3-7]分；进度管理措施、进度保障措施不全或内容简单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设计服务组织的保证措施</w:t>
            </w:r>
          </w:p>
        </w:tc>
        <w:tc>
          <w:tcPr>
            <w:tcW w:type="dxa" w:w="2492"/>
          </w:tcPr>
          <w:p>
            <w:pPr>
              <w:pStyle w:val="null3"/>
            </w:pPr>
            <w:r>
              <w:rPr>
                <w:rFonts w:ascii="仿宋_GB2312" w:hAnsi="仿宋_GB2312" w:cs="仿宋_GB2312" w:eastAsia="仿宋_GB2312"/>
              </w:rPr>
              <w:t>投标人提供设计组织方案管理措施，组织、进度、质量、沟通、风险等内容描述详细全面、各项措施合理、针对性强的，得（5-8]分；设计组织方案中组织、进度、质量、沟通、风险等内容描述清晰，方案合理、可行、完整的，得（2-5]分；设计服务组织方案措施不全或内容简单得，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对后期服务的保证措施 、能够处理各类紧急事项的措施，保证项目实施，能够保证在规定的时间解决问题。承诺内容切实可行得（4-8]分；后期服务基本齐全，针对性一般得[0-4]分。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本项目提供保密措施，保密措施考虑全面、内容完整、重点突出、具有针对性和可行性的，得（5-7]分；保密措施考虑较为全面、内容较为完整、重点内容体现、较有针对性和可行性的，得（2-5]分；保密措施考虑不够全面、内容不够完整、重点内容未体现、针对性和可行性较差的，得[0-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组织机构设置及主要人员安排</w:t>
            </w:r>
          </w:p>
        </w:tc>
        <w:tc>
          <w:tcPr>
            <w:tcW w:type="dxa" w:w="2492"/>
          </w:tcPr>
          <w:p>
            <w:pPr>
              <w:pStyle w:val="null3"/>
            </w:pPr>
            <w:r>
              <w:rPr>
                <w:rFonts w:ascii="仿宋_GB2312" w:hAnsi="仿宋_GB2312" w:cs="仿宋_GB2312" w:eastAsia="仿宋_GB2312"/>
              </w:rPr>
              <w:t>项目部组织结构设置合理、项目部关键岗位人员配备及职责划分清晰明确得(5-7]分，组织结构设置基本可行，项目部关键岗位及职责划分基本满足得(2-5]分，组织结构设置欠缺，项目部关键岗位及职责划分薄弱较差得[0-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2022年01月至今完成类似项目业绩，一项得2分，最多得10分。（须附类似项目业绩的成交（中标）通知书或合同的复印件或扫描件，并加盖公章）。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满足磋商文件要求且投标价格最低的磋商报价为评标基准价，其价格分为满分。其他供应商的价格分统一按照下列公式计算：投标报价得分=（评标基准价/投标报价）×投标报价总分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详见附件：设计合同.docx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