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CF6AB">
      <w:pPr>
        <w:spacing w:line="360" w:lineRule="auto"/>
        <w:jc w:val="both"/>
        <w:rPr>
          <w:rFonts w:hint="eastAsia" w:ascii="宋体" w:hAnsi="宋体" w:eastAsia="宋体" w:cs="宋体"/>
          <w:bCs/>
          <w:color w:val="00000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32"/>
          <w:szCs w:val="32"/>
          <w:highlight w:val="none"/>
        </w:rPr>
        <w:t>合同编号:</w:t>
      </w:r>
    </w:p>
    <w:p w14:paraId="1F3005A2">
      <w:pPr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72"/>
          <w:szCs w:val="52"/>
          <w:highlight w:val="none"/>
        </w:rPr>
      </w:pPr>
    </w:p>
    <w:p w14:paraId="00D31FDF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color w:val="000000"/>
          <w:sz w:val="72"/>
          <w:szCs w:val="52"/>
          <w:highlight w:val="none"/>
        </w:rPr>
      </w:pPr>
      <w:bookmarkStart w:id="0" w:name="_Toc29806"/>
      <w:bookmarkStart w:id="1" w:name="_Toc24505"/>
      <w:bookmarkStart w:id="2" w:name="_Toc6353"/>
      <w:bookmarkStart w:id="3" w:name="_Toc28685"/>
      <w:r>
        <w:rPr>
          <w:rFonts w:hint="eastAsia" w:ascii="宋体" w:hAnsi="宋体" w:eastAsia="宋体" w:cs="宋体"/>
          <w:b/>
          <w:color w:val="000000"/>
          <w:sz w:val="72"/>
          <w:szCs w:val="52"/>
          <w:highlight w:val="none"/>
        </w:rPr>
        <w:t>政府采购合同</w:t>
      </w:r>
      <w:bookmarkEnd w:id="0"/>
      <w:bookmarkEnd w:id="1"/>
      <w:bookmarkEnd w:id="2"/>
      <w:bookmarkEnd w:id="3"/>
    </w:p>
    <w:p w14:paraId="29F9EDA9">
      <w:pPr>
        <w:spacing w:line="360" w:lineRule="auto"/>
        <w:jc w:val="center"/>
        <w:rPr>
          <w:rFonts w:hint="eastAsia" w:ascii="宋体" w:hAnsi="宋体" w:eastAsia="宋体" w:cs="宋体"/>
          <w:bCs/>
          <w:color w:val="00000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52"/>
          <w:szCs w:val="52"/>
          <w:highlight w:val="none"/>
        </w:rPr>
        <w:t>（示范文本）</w:t>
      </w:r>
    </w:p>
    <w:p w14:paraId="5A6D104E">
      <w:pPr>
        <w:spacing w:line="360" w:lineRule="auto"/>
        <w:jc w:val="center"/>
        <w:rPr>
          <w:rFonts w:hint="eastAsia" w:ascii="宋体" w:hAnsi="宋体" w:eastAsia="宋体" w:cs="宋体"/>
          <w:bCs/>
          <w:color w:val="000000"/>
          <w:sz w:val="32"/>
          <w:szCs w:val="32"/>
          <w:highlight w:val="none"/>
        </w:rPr>
      </w:pPr>
    </w:p>
    <w:p w14:paraId="31D2319D">
      <w:pPr>
        <w:spacing w:line="360" w:lineRule="auto"/>
        <w:jc w:val="center"/>
        <w:rPr>
          <w:rFonts w:hint="eastAsia" w:ascii="宋体" w:hAnsi="宋体" w:eastAsia="宋体" w:cs="宋体"/>
          <w:bCs/>
          <w:color w:val="000000"/>
          <w:sz w:val="32"/>
          <w:szCs w:val="32"/>
          <w:highlight w:val="none"/>
        </w:rPr>
      </w:pPr>
    </w:p>
    <w:p w14:paraId="0F265875">
      <w:pPr>
        <w:spacing w:line="360" w:lineRule="auto"/>
        <w:jc w:val="center"/>
        <w:rPr>
          <w:rFonts w:hint="eastAsia" w:ascii="宋体" w:hAnsi="宋体" w:eastAsia="宋体" w:cs="宋体"/>
          <w:bCs/>
          <w:color w:val="000000"/>
          <w:sz w:val="32"/>
          <w:szCs w:val="32"/>
          <w:highlight w:val="none"/>
        </w:rPr>
      </w:pPr>
    </w:p>
    <w:p w14:paraId="079B4B6C">
      <w:pPr>
        <w:spacing w:line="360" w:lineRule="auto"/>
        <w:jc w:val="center"/>
        <w:rPr>
          <w:rFonts w:hint="eastAsia" w:ascii="宋体" w:hAnsi="宋体" w:eastAsia="宋体" w:cs="宋体"/>
          <w:bCs/>
          <w:color w:val="000000"/>
          <w:sz w:val="32"/>
          <w:szCs w:val="32"/>
          <w:highlight w:val="none"/>
        </w:rPr>
      </w:pPr>
    </w:p>
    <w:p w14:paraId="5D922471">
      <w:pPr>
        <w:spacing w:line="360" w:lineRule="auto"/>
        <w:jc w:val="center"/>
        <w:rPr>
          <w:rFonts w:hint="eastAsia" w:ascii="宋体" w:hAnsi="宋体" w:eastAsia="宋体" w:cs="宋体"/>
          <w:bCs/>
          <w:color w:val="000000"/>
          <w:sz w:val="32"/>
          <w:szCs w:val="32"/>
          <w:highlight w:val="none"/>
        </w:rPr>
      </w:pPr>
    </w:p>
    <w:p w14:paraId="716466C6">
      <w:pPr>
        <w:spacing w:line="360" w:lineRule="auto"/>
        <w:jc w:val="center"/>
        <w:rPr>
          <w:rFonts w:hint="eastAsia" w:ascii="宋体" w:hAnsi="宋体" w:eastAsia="宋体" w:cs="宋体"/>
          <w:bCs/>
          <w:color w:val="000000"/>
          <w:sz w:val="32"/>
          <w:szCs w:val="32"/>
          <w:highlight w:val="none"/>
        </w:rPr>
      </w:pPr>
    </w:p>
    <w:p w14:paraId="7936B345">
      <w:pPr>
        <w:spacing w:line="360" w:lineRule="auto"/>
        <w:jc w:val="center"/>
        <w:rPr>
          <w:rFonts w:hint="eastAsia" w:ascii="宋体" w:hAnsi="宋体" w:eastAsia="宋体" w:cs="宋体"/>
          <w:bCs/>
          <w:color w:val="000000"/>
          <w:sz w:val="32"/>
          <w:szCs w:val="32"/>
          <w:highlight w:val="none"/>
        </w:rPr>
      </w:pPr>
    </w:p>
    <w:p w14:paraId="481BCFE7">
      <w:pPr>
        <w:spacing w:line="360" w:lineRule="auto"/>
        <w:jc w:val="center"/>
        <w:rPr>
          <w:rFonts w:hint="eastAsia" w:ascii="宋体" w:hAnsi="宋体" w:eastAsia="宋体" w:cs="宋体"/>
          <w:bCs/>
          <w:color w:val="000000"/>
          <w:sz w:val="32"/>
          <w:szCs w:val="32"/>
          <w:highlight w:val="none"/>
        </w:rPr>
      </w:pPr>
    </w:p>
    <w:p w14:paraId="32038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line="360" w:lineRule="auto"/>
        <w:ind w:firstLine="64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32"/>
          <w:szCs w:val="32"/>
          <w:highlight w:val="none"/>
        </w:rPr>
        <w:t>采购项目名称</w:t>
      </w:r>
      <w:r>
        <w:rPr>
          <w:rFonts w:hint="eastAsia" w:cs="宋体"/>
          <w:bCs/>
          <w:color w:val="000000"/>
          <w:sz w:val="32"/>
          <w:szCs w:val="32"/>
          <w:highlight w:val="none"/>
          <w:lang w:eastAsia="zh-CN"/>
        </w:rPr>
        <w:t>：</w:t>
      </w:r>
      <w:r>
        <w:rPr>
          <w:rFonts w:hint="eastAsia" w:cs="宋体"/>
          <w:bCs/>
          <w:color w:val="000000"/>
          <w:sz w:val="32"/>
          <w:szCs w:val="32"/>
          <w:highlight w:val="none"/>
          <w:u w:val="single"/>
          <w:lang w:val="en-US" w:eastAsia="zh-CN"/>
        </w:rPr>
        <w:t xml:space="preserve">                         </w:t>
      </w:r>
    </w:p>
    <w:p w14:paraId="674D1A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line="360" w:lineRule="auto"/>
        <w:ind w:firstLine="64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000000"/>
          <w:sz w:val="32"/>
          <w:szCs w:val="32"/>
          <w:highlight w:val="none"/>
        </w:rPr>
        <w:t>采购人</w:t>
      </w:r>
      <w:r>
        <w:rPr>
          <w:rFonts w:hint="eastAsia" w:cs="宋体"/>
          <w:bCs/>
          <w:color w:val="000000"/>
          <w:sz w:val="32"/>
          <w:szCs w:val="32"/>
          <w:highlight w:val="none"/>
          <w:lang w:eastAsia="zh-CN"/>
        </w:rPr>
        <w:t>：</w:t>
      </w:r>
      <w:r>
        <w:rPr>
          <w:rFonts w:hint="eastAsia" w:cs="宋体"/>
          <w:bCs/>
          <w:color w:val="000000"/>
          <w:sz w:val="32"/>
          <w:szCs w:val="32"/>
          <w:highlight w:val="none"/>
          <w:u w:val="single"/>
          <w:lang w:val="en-US" w:eastAsia="zh-CN"/>
        </w:rPr>
        <w:t xml:space="preserve">                               </w:t>
      </w:r>
    </w:p>
    <w:p w14:paraId="3DDDF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line="360" w:lineRule="auto"/>
        <w:ind w:firstLine="64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000000"/>
          <w:sz w:val="32"/>
          <w:szCs w:val="32"/>
          <w:highlight w:val="none"/>
        </w:rPr>
        <w:t>成交供应商</w:t>
      </w:r>
      <w:r>
        <w:rPr>
          <w:rFonts w:hint="eastAsia" w:cs="宋体"/>
          <w:bCs/>
          <w:color w:val="000000"/>
          <w:sz w:val="32"/>
          <w:szCs w:val="32"/>
          <w:highlight w:val="none"/>
          <w:lang w:eastAsia="zh-CN"/>
        </w:rPr>
        <w:t>：</w:t>
      </w:r>
      <w:r>
        <w:rPr>
          <w:rFonts w:hint="eastAsia" w:cs="宋体"/>
          <w:bCs/>
          <w:color w:val="000000"/>
          <w:sz w:val="32"/>
          <w:szCs w:val="32"/>
          <w:highlight w:val="none"/>
          <w:u w:val="single"/>
          <w:lang w:val="en-US" w:eastAsia="zh-CN"/>
        </w:rPr>
        <w:t xml:space="preserve">                           </w:t>
      </w:r>
    </w:p>
    <w:p w14:paraId="727C7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line="360" w:lineRule="auto"/>
        <w:ind w:firstLine="640" w:firstLineChars="200"/>
        <w:jc w:val="both"/>
        <w:textAlignment w:val="auto"/>
        <w:rPr>
          <w:rFonts w:hint="eastAsia" w:ascii="宋体" w:hAnsi="宋体" w:eastAsia="宋体" w:cs="宋体"/>
          <w:b/>
          <w:color w:val="000000"/>
          <w:sz w:val="72"/>
          <w:szCs w:val="52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000000"/>
          <w:sz w:val="32"/>
          <w:szCs w:val="32"/>
          <w:highlight w:val="none"/>
        </w:rPr>
        <w:t>签署日期</w:t>
      </w:r>
      <w:r>
        <w:rPr>
          <w:rFonts w:hint="eastAsia" w:cs="宋体"/>
          <w:bCs/>
          <w:color w:val="000000"/>
          <w:sz w:val="32"/>
          <w:szCs w:val="32"/>
          <w:highlight w:val="none"/>
          <w:lang w:eastAsia="zh-CN"/>
        </w:rPr>
        <w:t>：</w:t>
      </w:r>
      <w:r>
        <w:rPr>
          <w:rFonts w:hint="eastAsia" w:cs="宋体"/>
          <w:bCs/>
          <w:color w:val="000000"/>
          <w:sz w:val="32"/>
          <w:szCs w:val="32"/>
          <w:highlight w:val="none"/>
          <w:u w:val="single"/>
          <w:lang w:val="en-US" w:eastAsia="zh-CN"/>
        </w:rPr>
        <w:t xml:space="preserve">                             </w:t>
      </w:r>
    </w:p>
    <w:p w14:paraId="09546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62CD2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甲方(采购人):</w:t>
      </w: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                                     </w:t>
      </w:r>
    </w:p>
    <w:p w14:paraId="4B531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乙方(供应商):</w:t>
      </w: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                                     </w:t>
      </w:r>
    </w:p>
    <w:p w14:paraId="12813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依据《中华人民共和国民法典》和《中华人民共和国政府采购法》，经双方协商按下述条款和条件签署本合同。</w:t>
      </w:r>
    </w:p>
    <w:p w14:paraId="6D791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2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4" w:name="_Toc6632"/>
      <w:bookmarkStart w:id="5" w:name="_Toc30923"/>
      <w:bookmarkStart w:id="6" w:name="_Toc22575"/>
      <w:bookmarkStart w:id="7" w:name="_Toc10976"/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一、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服务内容</w:t>
      </w:r>
      <w:bookmarkEnd w:id="4"/>
    </w:p>
    <w:p w14:paraId="37CE8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                                                              </w:t>
      </w:r>
    </w:p>
    <w:p w14:paraId="30288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2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8" w:name="_Toc23186"/>
      <w:r>
        <w:rPr>
          <w:rFonts w:hint="eastAsia" w:cs="宋体"/>
          <w:b/>
          <w:bCs/>
          <w:sz w:val="24"/>
          <w:szCs w:val="24"/>
          <w:lang w:val="en-US" w:eastAsia="zh-CN"/>
        </w:rPr>
        <w:t>二</w:t>
      </w: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、合同价款</w:t>
      </w:r>
      <w:bookmarkEnd w:id="5"/>
      <w:bookmarkEnd w:id="6"/>
      <w:bookmarkEnd w:id="7"/>
      <w:bookmarkEnd w:id="8"/>
    </w:p>
    <w:p w14:paraId="2B712B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1、</w:t>
      </w:r>
      <w:r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  <w:t>合同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总价</w:t>
      </w:r>
      <w:r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  <w:t>为人民币(大写:</w:t>
      </w:r>
      <w:r>
        <w:rPr>
          <w:rFonts w:hint="eastAsia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cs="宋体"/>
          <w:sz w:val="24"/>
          <w:szCs w:val="24"/>
          <w:u w:val="none"/>
          <w:lang w:val="en-US" w:eastAsia="zh-CN"/>
        </w:rPr>
        <w:t>）（¥</w:t>
      </w: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cs="宋体"/>
          <w:sz w:val="24"/>
          <w:szCs w:val="24"/>
          <w:u w:val="none"/>
          <w:lang w:val="en-US" w:eastAsia="zh-CN"/>
        </w:rPr>
        <w:t>）</w:t>
      </w:r>
    </w:p>
    <w:p w14:paraId="33AC6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2、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合同</w:t>
      </w:r>
      <w:r>
        <w:rPr>
          <w:rFonts w:hint="eastAsia" w:cs="宋体"/>
          <w:sz w:val="24"/>
          <w:szCs w:val="24"/>
          <w:lang w:val="en-US" w:eastAsia="zh-CN"/>
        </w:rPr>
        <w:t>总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价是指为本次服务工作所需的全部费用。</w:t>
      </w:r>
    </w:p>
    <w:p w14:paraId="0EE0E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3、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合同</w:t>
      </w:r>
      <w:r>
        <w:rPr>
          <w:rFonts w:hint="eastAsia" w:cs="宋体"/>
          <w:sz w:val="24"/>
          <w:szCs w:val="24"/>
          <w:lang w:val="en-US" w:eastAsia="zh-CN"/>
        </w:rPr>
        <w:t>总价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一次性包死，不受市场价格变化因素的影响。</w:t>
      </w:r>
    </w:p>
    <w:p w14:paraId="16DF5C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2" w:firstLineChars="200"/>
        <w:textAlignment w:val="auto"/>
        <w:outlineLvl w:val="9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9" w:name="_Toc6566"/>
      <w:bookmarkStart w:id="10" w:name="_Toc1817"/>
      <w:bookmarkStart w:id="11" w:name="_Toc11911"/>
      <w:bookmarkStart w:id="12" w:name="_Toc27226"/>
      <w:r>
        <w:rPr>
          <w:rFonts w:hint="eastAsia" w:cs="宋体"/>
          <w:b/>
          <w:bCs/>
          <w:sz w:val="24"/>
          <w:szCs w:val="24"/>
          <w:lang w:val="en-US" w:eastAsia="zh-CN"/>
        </w:rPr>
        <w:t>三</w:t>
      </w: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、</w:t>
      </w:r>
      <w:bookmarkEnd w:id="9"/>
      <w:bookmarkEnd w:id="10"/>
      <w:bookmarkEnd w:id="11"/>
      <w:r>
        <w:rPr>
          <w:rFonts w:hint="eastAsia" w:cs="宋体"/>
          <w:b/>
          <w:bCs/>
          <w:sz w:val="24"/>
          <w:szCs w:val="24"/>
          <w:lang w:val="en-US" w:eastAsia="zh-CN"/>
        </w:rPr>
        <w:t>付款方式</w:t>
      </w:r>
      <w:bookmarkEnd w:id="12"/>
    </w:p>
    <w:p w14:paraId="308FA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1、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合同款的支付</w:t>
      </w:r>
      <w:r>
        <w:rPr>
          <w:rFonts w:hint="eastAsia" w:cs="宋体"/>
          <w:sz w:val="24"/>
          <w:szCs w:val="24"/>
          <w:lang w:val="en-US" w:eastAsia="zh-CN"/>
        </w:rPr>
        <w:t>：</w:t>
      </w: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 w14:paraId="64D79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2、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支付方式</w:t>
      </w:r>
      <w:r>
        <w:rPr>
          <w:rFonts w:hint="eastAsia" w:cs="宋体"/>
          <w:sz w:val="24"/>
          <w:szCs w:val="24"/>
          <w:lang w:val="en-US" w:eastAsia="zh-CN"/>
        </w:rPr>
        <w:t>：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银行转账。</w:t>
      </w:r>
    </w:p>
    <w:p w14:paraId="16C192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3、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结算方式</w:t>
      </w:r>
      <w:r>
        <w:rPr>
          <w:rFonts w:hint="eastAsia" w:cs="宋体"/>
          <w:sz w:val="24"/>
          <w:szCs w:val="24"/>
          <w:lang w:val="en-US" w:eastAsia="zh-CN"/>
        </w:rPr>
        <w:t>：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乙方开具合同总价的全额发票交甲方负责部门。</w:t>
      </w:r>
    </w:p>
    <w:p w14:paraId="1A7A2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2" w:firstLineChars="200"/>
        <w:textAlignment w:val="auto"/>
        <w:outlineLvl w:val="9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13" w:name="_Toc31344"/>
      <w:bookmarkStart w:id="14" w:name="_Toc15229"/>
      <w:bookmarkStart w:id="15" w:name="_Toc9586"/>
      <w:bookmarkStart w:id="16" w:name="_Toc24667"/>
      <w:r>
        <w:rPr>
          <w:rFonts w:hint="eastAsia" w:cs="宋体"/>
          <w:b/>
          <w:bCs/>
          <w:sz w:val="24"/>
          <w:szCs w:val="24"/>
          <w:lang w:val="en-US" w:eastAsia="zh-CN"/>
        </w:rPr>
        <w:t>四</w:t>
      </w: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、服务地点及服务</w:t>
      </w:r>
      <w:bookmarkEnd w:id="13"/>
      <w:bookmarkEnd w:id="14"/>
      <w:bookmarkEnd w:id="15"/>
      <w:r>
        <w:rPr>
          <w:rFonts w:hint="eastAsia" w:cs="宋体"/>
          <w:b/>
          <w:bCs/>
          <w:sz w:val="24"/>
          <w:szCs w:val="24"/>
          <w:lang w:val="en-US" w:eastAsia="zh-CN"/>
        </w:rPr>
        <w:t>期限</w:t>
      </w:r>
      <w:bookmarkEnd w:id="16"/>
    </w:p>
    <w:p w14:paraId="19C19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1、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服务地点</w:t>
      </w:r>
      <w:r>
        <w:rPr>
          <w:rFonts w:hint="eastAsia" w:cs="宋体"/>
          <w:sz w:val="24"/>
          <w:szCs w:val="24"/>
          <w:lang w:val="en-US" w:eastAsia="zh-CN"/>
        </w:rPr>
        <w:t>：</w:t>
      </w: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                    </w:t>
      </w:r>
      <w:bookmarkStart w:id="41" w:name="_GoBack"/>
      <w:bookmarkEnd w:id="41"/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        </w:t>
      </w:r>
    </w:p>
    <w:p w14:paraId="5DA5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eastAsia" w:cs="宋体"/>
          <w:sz w:val="24"/>
          <w:szCs w:val="24"/>
          <w:u w:val="single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2、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服务</w:t>
      </w:r>
      <w:r>
        <w:rPr>
          <w:rFonts w:hint="eastAsia" w:cs="宋体"/>
          <w:sz w:val="24"/>
          <w:szCs w:val="24"/>
          <w:lang w:val="en-US" w:eastAsia="zh-CN"/>
        </w:rPr>
        <w:t>期限：</w:t>
      </w: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                             </w:t>
      </w:r>
    </w:p>
    <w:p w14:paraId="23454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2" w:firstLineChars="200"/>
        <w:textAlignment w:val="auto"/>
        <w:outlineLvl w:val="9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17" w:name="_Toc26494"/>
      <w:bookmarkStart w:id="18" w:name="_Toc599"/>
      <w:bookmarkStart w:id="19" w:name="_Toc32311"/>
      <w:bookmarkStart w:id="20" w:name="_Toc26223"/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四、验收时间及依据</w:t>
      </w:r>
      <w:bookmarkEnd w:id="17"/>
      <w:bookmarkEnd w:id="18"/>
      <w:bookmarkEnd w:id="19"/>
      <w:bookmarkEnd w:id="20"/>
    </w:p>
    <w:p w14:paraId="07CD3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1、招标文件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eastAsia" w:cs="宋体"/>
          <w:sz w:val="24"/>
          <w:szCs w:val="24"/>
          <w:lang w:val="en-US" w:eastAsia="zh-CN"/>
        </w:rPr>
        <w:t>投标文件；</w:t>
      </w:r>
    </w:p>
    <w:p w14:paraId="0A89D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2、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本合同及附件文本</w:t>
      </w:r>
      <w:r>
        <w:rPr>
          <w:rFonts w:hint="eastAsia" w:cs="宋体"/>
          <w:sz w:val="24"/>
          <w:szCs w:val="24"/>
          <w:lang w:val="en-US" w:eastAsia="zh-CN"/>
        </w:rPr>
        <w:t>；</w:t>
      </w:r>
    </w:p>
    <w:p w14:paraId="73491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3、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国家及行业现行的标准和技术规范</w:t>
      </w:r>
      <w:r>
        <w:rPr>
          <w:rFonts w:hint="eastAsia" w:cs="宋体"/>
          <w:sz w:val="24"/>
          <w:szCs w:val="24"/>
          <w:lang w:val="en-US" w:eastAsia="zh-CN"/>
        </w:rPr>
        <w:t>。</w:t>
      </w:r>
    </w:p>
    <w:p w14:paraId="43155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2" w:firstLineChars="200"/>
        <w:textAlignment w:val="auto"/>
        <w:outlineLvl w:val="9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21" w:name="_Toc26526"/>
      <w:bookmarkStart w:id="22" w:name="_Toc11784"/>
      <w:bookmarkStart w:id="23" w:name="_Toc5433"/>
      <w:bookmarkStart w:id="24" w:name="_Toc19300"/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五、责任与义务</w:t>
      </w:r>
      <w:bookmarkEnd w:id="21"/>
      <w:bookmarkEnd w:id="22"/>
      <w:bookmarkEnd w:id="23"/>
      <w:bookmarkEnd w:id="24"/>
    </w:p>
    <w:p w14:paraId="35359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1、</w:t>
      </w:r>
      <w:r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  <w:t>乙方满足服务质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量要求，经甲方与乙方双方负责人确认，对达不到本项目采购要求所述条件要求的人员进行更换。</w:t>
      </w:r>
    </w:p>
    <w:p w14:paraId="5BD64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2、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投标报价应是乙方正确、全面完成</w:t>
      </w:r>
      <w:r>
        <w:rPr>
          <w:rFonts w:hint="eastAsia" w:cs="宋体"/>
          <w:sz w:val="24"/>
          <w:szCs w:val="24"/>
          <w:lang w:val="en-US" w:eastAsia="zh-CN"/>
        </w:rPr>
        <w:t>投标文件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所述全部工作内容的全部报酬，不受市场价格变化等因素的影响，乙方不得以任何理由变更投标报价。所有根据合同或其它原因由乙方支付的税金和其它应缴纳的费用，以及利润等都应包括在乙方提交的投标报价中,乙方不得要求甲方在报价之外支付其它任何费用。由于报价填报不完整、不清楚或存在其它任何失误，所导致的任何不利后果均应当由乙方自行承担。</w:t>
      </w:r>
    </w:p>
    <w:p w14:paraId="7CCF9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3、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合同有效期内，投标报价不因市场因素、政府政策调整、费率调整和税收变化等而作任何调整，乙方应在投标时充分考虑到各种风险因素。</w:t>
      </w:r>
    </w:p>
    <w:p w14:paraId="7616B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2" w:firstLineChars="200"/>
        <w:textAlignment w:val="auto"/>
        <w:outlineLvl w:val="9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25" w:name="_Toc31322"/>
      <w:bookmarkStart w:id="26" w:name="_Toc9317"/>
      <w:bookmarkStart w:id="27" w:name="_Toc28130"/>
      <w:bookmarkStart w:id="28" w:name="_Toc20587"/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六、违约责任</w:t>
      </w:r>
      <w:bookmarkEnd w:id="25"/>
      <w:bookmarkEnd w:id="26"/>
      <w:bookmarkEnd w:id="27"/>
      <w:bookmarkEnd w:id="28"/>
    </w:p>
    <w:p w14:paraId="01F9C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1、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按《中华人民共和国民法典》中的相关条款执行。</w:t>
      </w:r>
    </w:p>
    <w:p w14:paraId="2D23D8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2、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未按合同要求提供服务或服务质量不能满足本次采购要求，甲方有权终止合同和对乙方违约行为进行追究，同时按政府采购法的有关规定进行相应的处罚。</w:t>
      </w:r>
    </w:p>
    <w:p w14:paraId="5974D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2" w:firstLineChars="200"/>
        <w:textAlignment w:val="auto"/>
        <w:outlineLvl w:val="9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29" w:name="_Toc31877"/>
      <w:bookmarkStart w:id="30" w:name="_Toc26197"/>
      <w:bookmarkStart w:id="31" w:name="_Toc27116"/>
      <w:bookmarkStart w:id="32" w:name="_Toc18124"/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七、其他事项</w:t>
      </w:r>
      <w:bookmarkEnd w:id="29"/>
      <w:bookmarkEnd w:id="30"/>
      <w:bookmarkEnd w:id="31"/>
      <w:bookmarkEnd w:id="32"/>
    </w:p>
    <w:p w14:paraId="0372AE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1、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本项目实施过程中，主体、关键性工作不得分包，非主体、非关键性工作若有部分需要分包，分包单位须经甲方同意。</w:t>
      </w:r>
    </w:p>
    <w:p w14:paraId="12A51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2、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乙方的</w:t>
      </w:r>
      <w:r>
        <w:rPr>
          <w:rFonts w:hint="eastAsia" w:cs="宋体"/>
          <w:sz w:val="24"/>
          <w:szCs w:val="24"/>
          <w:lang w:val="en-US" w:eastAsia="zh-CN"/>
        </w:rPr>
        <w:t>投标文件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和承诺等内容将列入合同。</w:t>
      </w:r>
    </w:p>
    <w:p w14:paraId="2E2920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2" w:firstLineChars="200"/>
        <w:textAlignment w:val="auto"/>
        <w:outlineLvl w:val="9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33" w:name="_Toc29108"/>
      <w:bookmarkStart w:id="34" w:name="_Toc12863"/>
      <w:bookmarkStart w:id="35" w:name="_Toc5857"/>
      <w:bookmarkStart w:id="36" w:name="_Toc25808"/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八、合同争议解决的方式</w:t>
      </w:r>
      <w:bookmarkEnd w:id="33"/>
      <w:bookmarkEnd w:id="34"/>
      <w:bookmarkEnd w:id="35"/>
      <w:bookmarkEnd w:id="36"/>
    </w:p>
    <w:p w14:paraId="5BA702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本合同在履行过程中发生的争议，由甲、乙双方当事人协商解决，协商不成的按下列第</w:t>
      </w: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  2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种方式解决:</w:t>
      </w:r>
    </w:p>
    <w:p w14:paraId="2BFF3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1、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提交西安仲裁委员会仲裁;</w:t>
      </w:r>
    </w:p>
    <w:p w14:paraId="5EDBE6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2、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依法向有管辖权的人民法院起诉，</w:t>
      </w:r>
    </w:p>
    <w:p w14:paraId="14297B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2" w:firstLineChars="200"/>
        <w:textAlignment w:val="auto"/>
        <w:outlineLvl w:val="9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37" w:name="_Toc11797"/>
      <w:bookmarkStart w:id="38" w:name="_Toc3273"/>
      <w:bookmarkStart w:id="39" w:name="_Toc28573"/>
      <w:bookmarkStart w:id="40" w:name="_Toc29002"/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九、合同生效</w:t>
      </w:r>
      <w:bookmarkEnd w:id="37"/>
      <w:bookmarkEnd w:id="38"/>
      <w:bookmarkEnd w:id="39"/>
      <w:bookmarkEnd w:id="40"/>
    </w:p>
    <w:p w14:paraId="2C1CA1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1、本合同经双方签字盖章后生效。</w:t>
      </w:r>
    </w:p>
    <w:p w14:paraId="1AED29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2、合同生效后，甲、乙双方须严格执行本合同条款的规定，全面履行合同，违者按《中华人民共和国民法典》的有关规定承担相应责任。</w:t>
      </w:r>
    </w:p>
    <w:p w14:paraId="1F3211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3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、本合同一式</w:t>
      </w: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份，甲乙双方各执</w:t>
      </w: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份。</w:t>
      </w:r>
    </w:p>
    <w:p w14:paraId="5B4A19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4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、本合同如有未尽事宜，甲、乙双方协商解决。</w:t>
      </w:r>
    </w:p>
    <w:p w14:paraId="42ADC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cs="宋体"/>
          <w:color w:val="00000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(公章)：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</w:t>
      </w:r>
      <w:r>
        <w:rPr>
          <w:rFonts w:hint="eastAsia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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000000"/>
          <w:sz w:val="24"/>
          <w:szCs w:val="24"/>
          <w:highlight w:val="none"/>
          <w:lang w:val="en-US" w:eastAsia="zh-CN"/>
        </w:rPr>
        <w:t xml:space="preserve">      乙方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(公章)：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           </w:t>
      </w:r>
    </w:p>
    <w:p w14:paraId="5D4A6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地  址：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</w:t>
      </w:r>
      <w:r>
        <w:rPr>
          <w:rFonts w:hint="eastAsia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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00000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地址：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       </w:t>
      </w:r>
    </w:p>
    <w:p w14:paraId="09724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法定代表人(签字)：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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00000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法定代表人(签字)：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       </w:t>
      </w:r>
    </w:p>
    <w:p w14:paraId="257BBE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委托代理人(签字)：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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00000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委托代理人(签字)：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       </w:t>
      </w:r>
    </w:p>
    <w:p w14:paraId="10D314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电  话：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</w:t>
      </w:r>
      <w:r>
        <w:rPr>
          <w:rFonts w:hint="eastAsia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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00000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电  话：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     </w:t>
      </w:r>
    </w:p>
    <w:p w14:paraId="442E2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开户银行：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</w:t>
      </w:r>
      <w:r>
        <w:rPr>
          <w:rFonts w:hint="eastAsia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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00000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开户银行：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   </w:t>
      </w:r>
    </w:p>
    <w:p w14:paraId="476A5A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账  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</w:t>
      </w:r>
      <w:r>
        <w:rPr>
          <w:rFonts w:hint="eastAsia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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000000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账  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     </w:t>
      </w:r>
    </w:p>
    <w:p w14:paraId="3DD46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日期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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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000000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日期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     </w:t>
      </w:r>
    </w:p>
    <w:p w14:paraId="00DCB2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jZmJhYzM4OGQyZTRjYTY3MDFmMzM2YWJkY2M5NTcifQ=="/>
  </w:docVars>
  <w:rsids>
    <w:rsidRoot w:val="0CA45362"/>
    <w:rsid w:val="012749DE"/>
    <w:rsid w:val="0CA45362"/>
    <w:rsid w:val="29424212"/>
    <w:rsid w:val="2BFA0DD4"/>
    <w:rsid w:val="2E734E6D"/>
    <w:rsid w:val="32E225C2"/>
    <w:rsid w:val="37EC2711"/>
    <w:rsid w:val="5625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1203</Words>
  <Characters>1207</Characters>
  <Lines>0</Lines>
  <Paragraphs>0</Paragraphs>
  <TotalTime>0</TotalTime>
  <ScaleCrop>false</ScaleCrop>
  <LinksUpToDate>false</LinksUpToDate>
  <CharactersWithSpaces>1734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2024-08-06T09:37:00Z</dcterms:created>
  <dc:creator>叶永健</dc:creator>
  <cp:lastModifiedBy>叶永健</cp:lastModifiedBy>
  <dcterms:modified xsi:type="dcterms:W3CDTF">2024-08-29T06:25:18Z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BFB6949F439B4F20AF5421F26DE45A60_11</vt:lpwstr>
  </property>
</Properties>
</file>