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“四村路”延伸段建设</w:t>
      </w:r>
    </w:p>
    <w:p>
      <w:pPr>
        <w:pStyle w:val="null3"/>
        <w:jc w:val="center"/>
        <w:outlineLvl w:val="2"/>
      </w:pPr>
      <w:r>
        <w:rPr>
          <w:sz w:val="28"/>
          <w:b/>
        </w:rPr>
        <w:t>采购项目编号：</w:t>
      </w:r>
      <w:r>
        <w:rPr>
          <w:sz w:val="28"/>
          <w:b/>
        </w:rPr>
        <w:t>HRDL-SG[2024]-213-033</w:t>
      </w:r>
      <w:r>
        <w:br/>
      </w:r>
      <w:r>
        <w:br/>
      </w:r>
      <w:r>
        <w:br/>
      </w:r>
    </w:p>
    <w:p>
      <w:pPr>
        <w:pStyle w:val="null3"/>
        <w:jc w:val="center"/>
        <w:outlineLvl w:val="2"/>
      </w:pPr>
      <w:r>
        <w:rPr>
          <w:sz w:val="28"/>
          <w:b/>
        </w:rPr>
        <w:t>西安市临潼区秦陵街道办事处</w:t>
      </w:r>
    </w:p>
    <w:p>
      <w:pPr>
        <w:pStyle w:val="null3"/>
        <w:jc w:val="center"/>
        <w:outlineLvl w:val="2"/>
      </w:pPr>
      <w:r>
        <w:rPr>
          <w:sz w:val="28"/>
          <w:b/>
        </w:rPr>
        <w:t>陕西恒瑞项目管理有限公司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陕西恒瑞项目管理有限公司</w:t>
      </w:r>
      <w:r>
        <w:rPr/>
        <w:t>（以下简称“代理机构”）受</w:t>
      </w:r>
      <w:r>
        <w:rPr/>
        <w:t>西安市临潼区秦陵街道办事处</w:t>
      </w:r>
      <w:r>
        <w:rPr/>
        <w:t>委托，拟对</w:t>
      </w:r>
      <w:r>
        <w:rPr/>
        <w:t>“四村路”延伸段建设</w:t>
      </w:r>
      <w:r>
        <w:rPr/>
        <w:t>采用竞争性磋商采购方式进行采购，兹邀请供应商参加本项目的竞争性磋商。</w:t>
      </w:r>
    </w:p>
    <w:p>
      <w:pPr>
        <w:pStyle w:val="null3"/>
        <w:outlineLvl w:val="2"/>
      </w:pPr>
      <w:r>
        <w:rPr>
          <w:sz w:val="28"/>
          <w:b/>
        </w:rPr>
        <w:t>一、采购项目编号：</w:t>
      </w:r>
      <w:r>
        <w:rPr>
          <w:sz w:val="28"/>
          <w:b/>
        </w:rPr>
        <w:t>HRDL-SG[2024]-213-033</w:t>
      </w:r>
    </w:p>
    <w:p>
      <w:pPr>
        <w:pStyle w:val="null3"/>
        <w:outlineLvl w:val="2"/>
      </w:pPr>
      <w:r>
        <w:rPr>
          <w:sz w:val="28"/>
          <w:b/>
        </w:rPr>
        <w:t>二、采购项目名称：</w:t>
      </w:r>
      <w:r>
        <w:rPr>
          <w:sz w:val="28"/>
          <w:b/>
        </w:rPr>
        <w:t>“四村路”延伸段建设</w:t>
      </w:r>
    </w:p>
    <w:p>
      <w:pPr>
        <w:pStyle w:val="null3"/>
        <w:outlineLvl w:val="2"/>
      </w:pPr>
      <w:r>
        <w:rPr>
          <w:sz w:val="28"/>
          <w:b/>
        </w:rPr>
        <w:t>三、磋商项目简介</w:t>
      </w:r>
    </w:p>
    <w:p>
      <w:pPr>
        <w:pStyle w:val="null3"/>
        <w:ind w:firstLine="480"/>
      </w:pPr>
      <w:r>
        <w:rPr/>
        <w:t>本项目建设内容包括生产道路硬化，道路标志安装，管道铺设，路灯安装等工程。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采购包1（“四村路”延伸段建设）：属于专门面向中小企业采购。</w:t>
      </w:r>
    </w:p>
    <w:p>
      <w:pPr>
        <w:pStyle w:val="null3"/>
        <w:ind w:firstLine="480"/>
      </w:pPr>
      <w:r>
        <w:rPr/>
        <w:t>（三）本项目的特定资格要求：</w:t>
      </w:r>
    </w:p>
    <w:p>
      <w:pPr>
        <w:pStyle w:val="null3"/>
      </w:pPr>
      <w:r>
        <w:rPr/>
        <w:t>采购包1：</w:t>
      </w:r>
    </w:p>
    <w:p>
      <w:pPr>
        <w:pStyle w:val="null3"/>
      </w:pPr>
      <w:r>
        <w:rPr/>
        <w:t>1、供应商专业资格要求：供应商须具备市政公用工程施工总承包三级以上（含三级）资质，具有有效的安全生产许可证。供应商需在项目电子化交易系统中按要求上传相应证明文件并进行电子签章。</w:t>
      </w:r>
    </w:p>
    <w:p>
      <w:pPr>
        <w:pStyle w:val="null3"/>
      </w:pPr>
      <w:r>
        <w:rPr/>
        <w:t>2、拟派项目负责人资质和专业要求：拟派项目负责人具有本企业注册的市政公用工程专业二级以上（含二级）注册建造师证书及安全考核 合格证, 且无在建（需提供项目负责人无在建声明），同时提供项目负责人自2023年8月1日至今连续3个月在本单位缴纳的社保证明材料。供应商需在项目电子化交易系统中按要求上传相应证明文件 并进行电子签章。</w:t>
      </w:r>
    </w:p>
    <w:p>
      <w:pPr>
        <w:pStyle w:val="null3"/>
      </w:pPr>
      <w:r>
        <w:rPr/>
        <w:t>3、供应商及其项目负责人信息有效可查：供应商及项目负责人基本信息应在“陕西建设网（http://js.shaanxi.gov.cn/）陕西省建筑市场监管与诚信信息发布平台”可查询。供应商需在项目电子化交易系统中按要求上传相应证明文件并进行电子签章。</w:t>
      </w:r>
    </w:p>
    <w:p>
      <w:pPr>
        <w:pStyle w:val="null3"/>
      </w:pPr>
      <w:r>
        <w:rPr/>
        <w:t>4、法定代表人证明书或法人授权委托书：法定代表人参加磋商的，须出示身份证明；法定代表人授权他人参加磋商的，须提供法定代表人授权委托书及被授权人身份证明。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西安市临潼区秦陵街道办事处</w:t>
      </w:r>
    </w:p>
    <w:p>
      <w:pPr>
        <w:pStyle w:val="null3"/>
      </w:pPr>
      <w:r>
        <w:rPr/>
        <w:t xml:space="preserve"> 地址： </w:t>
      </w:r>
      <w:r>
        <w:rPr/>
        <w:t>临潼区秦陵北路189号</w:t>
      </w:r>
    </w:p>
    <w:p>
      <w:pPr>
        <w:pStyle w:val="null3"/>
      </w:pPr>
      <w:r>
        <w:rPr/>
        <w:t xml:space="preserve"> 邮编： </w:t>
      </w:r>
      <w:r>
        <w:rPr/>
        <w:t>710600</w:t>
      </w:r>
    </w:p>
    <w:p>
      <w:pPr>
        <w:pStyle w:val="null3"/>
      </w:pPr>
      <w:r>
        <w:rPr/>
        <w:t xml:space="preserve"> 联系人： </w:t>
      </w:r>
      <w:r>
        <w:rPr/>
        <w:t>临潼区秦陵街道办事处经办</w:t>
      </w:r>
    </w:p>
    <w:p>
      <w:pPr>
        <w:pStyle w:val="null3"/>
      </w:pPr>
      <w:r>
        <w:rPr/>
        <w:t xml:space="preserve"> 联系电话： </w:t>
      </w:r>
      <w:r>
        <w:rPr/>
        <w:t>13519105732</w:t>
      </w:r>
    </w:p>
    <w:p>
      <w:pPr>
        <w:pStyle w:val="null3"/>
        <w:outlineLvl w:val="3"/>
      </w:pPr>
      <w:r>
        <w:rPr>
          <w:sz w:val="24"/>
          <w:b/>
        </w:rPr>
        <w:t>代理机构：</w:t>
      </w:r>
      <w:r>
        <w:rPr>
          <w:sz w:val="24"/>
          <w:b/>
        </w:rPr>
        <w:t>陕西恒瑞项目管理有限公司</w:t>
      </w:r>
    </w:p>
    <w:p>
      <w:pPr>
        <w:pStyle w:val="null3"/>
      </w:pPr>
      <w:r>
        <w:rPr/>
        <w:t xml:space="preserve"> 地址： </w:t>
      </w:r>
      <w:r>
        <w:rPr/>
        <w:t>西安市南二环凯森盛世一号A座25层</w:t>
      </w:r>
    </w:p>
    <w:p>
      <w:pPr>
        <w:pStyle w:val="null3"/>
      </w:pPr>
      <w:r>
        <w:rPr/>
        <w:t xml:space="preserve"> 邮编： </w:t>
      </w:r>
      <w:r>
        <w:rPr/>
        <w:t>710000</w:t>
      </w:r>
    </w:p>
    <w:p>
      <w:pPr>
        <w:pStyle w:val="null3"/>
      </w:pPr>
      <w:r>
        <w:rPr/>
        <w:t xml:space="preserve"> 联系人： </w:t>
      </w:r>
      <w:r>
        <w:rPr/>
        <w:t>杨娜</w:t>
      </w:r>
    </w:p>
    <w:p>
      <w:pPr>
        <w:pStyle w:val="null3"/>
      </w:pPr>
      <w:r>
        <w:rPr/>
        <w:t xml:space="preserve"> 联系电话： </w:t>
      </w:r>
      <w:r>
        <w:rPr/>
        <w:t>18706762064</w:t>
      </w:r>
    </w:p>
    <w:p>
      <w:pPr>
        <w:pStyle w:val="null3"/>
        <w:outlineLvl w:val="3"/>
      </w:pPr>
      <w:r>
        <w:rPr>
          <w:sz w:val="24"/>
          <w:b/>
        </w:rPr>
        <w:t>采购监督机构：</w:t>
      </w:r>
      <w:r>
        <w:rPr>
          <w:sz w:val="24"/>
          <w:b/>
        </w:rPr>
        <w:t>西安市临潼区政府采购管理股</w:t>
      </w:r>
    </w:p>
    <w:p>
      <w:pPr>
        <w:pStyle w:val="null3"/>
        <w:ind w:firstLine="480"/>
      </w:pPr>
      <w:r>
        <w:rPr/>
        <w:t>联系人：</w:t>
      </w:r>
      <w:r>
        <w:rPr/>
        <w:t>马明</w:t>
      </w:r>
    </w:p>
    <w:p>
      <w:pPr>
        <w:pStyle w:val="null3"/>
        <w:ind w:firstLine="480"/>
      </w:pPr>
      <w:r>
        <w:rPr/>
        <w:t>联系电话：</w:t>
      </w:r>
      <w:r>
        <w:rPr/>
        <w:t>83825758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采购包1：1,705,000.00元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国家发展改革委2011年下发的文件《调整后的招标代理服务收费标准》(发改价格〔2011〕〕534号)规定标准，按差额定率累进法计算，由中标人支付代理服务费。不足6000元，按6000元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西安市临潼区秦陵街道办事处</w:t>
      </w:r>
      <w:r>
        <w:rPr/>
        <w:t>和</w:t>
      </w:r>
      <w:r>
        <w:rPr/>
        <w:t>陕西恒瑞项目管理有限公司</w:t>
      </w:r>
      <w:r>
        <w:rPr/>
        <w:t>享有。对磋商文件中供应商参加本次政府采购活动应当具备的条件，磋商项目技术、服务、商务及其他要求，评审细则及标准由</w:t>
      </w:r>
      <w:r>
        <w:rPr/>
        <w:t>西安市临潼区秦陵街道办事处</w:t>
      </w:r>
      <w:r>
        <w:rPr/>
        <w:t>负责解释。除上述磋商文件内容，其他内容由</w:t>
      </w:r>
      <w:r>
        <w:rPr/>
        <w:t>陕西恒瑞项目管理有限公司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西安市临潼区秦陵街道办事处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陕西恒瑞项目管理有限公司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一、满足采购需求，达到国家及行业合格标准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陕西恒瑞项目管理有限公司</w:t>
      </w:r>
      <w:r>
        <w:rPr/>
        <w:t xml:space="preserve"> 负责答复；供应商对采购过程的询问、质疑由</w:t>
      </w:r>
      <w:r>
        <w:rPr/>
        <w:t>陕西恒瑞项目管理有限公司</w:t>
      </w:r>
      <w:r>
        <w:rPr/>
        <w:t xml:space="preserve"> 负责答复；供应商对采购结果的询问、质疑由 </w:t>
      </w:r>
      <w:r>
        <w:rPr/>
        <w:t>陕西恒瑞项目管理有限公司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联系人：杨娜</w:t>
      </w:r>
    </w:p>
    <w:p>
      <w:pPr>
        <w:pStyle w:val="null3"/>
      </w:pPr>
      <w:r>
        <w:rPr/>
        <w:t>联系电话：18706762064</w:t>
      </w:r>
    </w:p>
    <w:p>
      <w:pPr>
        <w:pStyle w:val="null3"/>
      </w:pPr>
      <w:r>
        <w:rPr/>
        <w:t>地址：陕西省西安市雁塔区西安曲江新区雁翔路58号哈佛公馆裙楼三层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1,705,000.00</w:t>
      </w:r>
    </w:p>
    <w:p>
      <w:pPr>
        <w:pStyle w:val="null3"/>
      </w:pPr>
      <w:r>
        <w:rPr/>
        <w:t>采购包最高限价（元）: 1,705,000.00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“四村路”延伸段建设</w:t>
            </w:r>
          </w:p>
        </w:tc>
        <w:tc>
          <w:tcPr>
            <w:tcW w:type="dxa" w:w="1384"/>
          </w:tcPr>
          <w:p>
            <w:pPr>
              <w:pStyle w:val="null3"/>
              <w:jc w:val="right"/>
            </w:pPr>
            <w:r>
              <w:rPr/>
              <w:t>1.00</w:t>
            </w:r>
          </w:p>
        </w:tc>
        <w:tc>
          <w:tcPr>
            <w:tcW w:type="dxa" w:w="1384"/>
          </w:tcPr>
          <w:p>
            <w:pPr>
              <w:pStyle w:val="null3"/>
              <w:jc w:val="right"/>
            </w:pPr>
            <w:r>
              <w:rPr/>
              <w:t>1,705,000.00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标的名称：“四村路”延伸段建设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生产道路硬化，道路标志安装，管道铺设，路灯安装等工程。</w:t>
            </w:r>
            <w:r>
              <w:rPr>
                <w:rFonts w:ascii="宋体" w:hAnsi="宋体" w:cs="宋体" w:eastAsia="宋体"/>
                <w:sz w:val="21"/>
              </w:rPr>
              <w:t>详见电子招标书。</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达到国家及行业现行技术规范标准，符合国家及行业验收合格标准。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1、工期：15天 2、工程质量标准：达到国家及行业相关标准。 3、保修期：竣工验收合格后1年。 4、付款进度及要求： （1） 付款条件说明： 合同签订后，支付工程预付款，预付的工程款必须在合同中约定抵扣方式，并在工程进度款中进行抵扣 ，达到付款条件起 7 日内，支付合同总金额的 30.00%。 （2）按照已完成工程量支付进度款（含预付款的抵扣），支付应不低于已完成工程价款的80% ，达到付款条件起 7 日内，支付合同总金额的 67.00%。 （3）工程价款总额3%的为质量保证金，待工程交付使用一年质保期到期后清算(合同另有约定的 ，从其约定)，质保期内如有返修，发生费用应在质量保证(保修)金内扣除 ，达到付款条件起 7 日内，支付合同总金额的 3.00%。</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磋商响应文件提交截止日一年内银行出具的资信证明，④供应商注册时间截至磋商响应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供应商专业资格要求</w:t>
            </w:r>
          </w:p>
        </w:tc>
        <w:tc>
          <w:tcPr>
            <w:tcW w:type="dxa" w:w="3322"/>
          </w:tcPr>
          <w:p>
            <w:pPr>
              <w:pStyle w:val="null3"/>
            </w:pPr>
            <w:r>
              <w:rPr/>
              <w:t>供应商须具备市政公用工程施工总承包三级以上（含三级）资质，具有有效的安全生产许可证。供应商需在项目电子化交易系统中按要求上传相应证明文件并进行电子签章。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拟派项目负责人资质和专业要求</w:t>
            </w:r>
          </w:p>
        </w:tc>
        <w:tc>
          <w:tcPr>
            <w:tcW w:type="dxa" w:w="3322"/>
          </w:tcPr>
          <w:p>
            <w:pPr>
              <w:pStyle w:val="null3"/>
            </w:pPr>
            <w:r>
              <w:rPr/>
              <w:t>拟派项目负责人具有本企业注册的市政公用工程专业二级以上（含二级）注册建造师证书及安全考核 合格证, 且无在建（需提供项目负责人无在建声明），同时提供项目负责人自2023年8月1日至今连续3个月在本单位缴纳的社保证明材料。供应商需在项目电子化交易系统中按要求上传相应证明文件 并进行电子签章。</w:t>
            </w:r>
          </w:p>
        </w:tc>
        <w:tc>
          <w:tcPr>
            <w:tcW w:type="dxa" w:w="1661"/>
          </w:tcPr>
          <w:p>
            <w:pPr>
              <w:pStyle w:val="null3"/>
            </w:pPr>
            <w:r>
              <w:rPr/>
              <w:t>项目管理机构组成表 供应商应提交的相关资格证明材料</w:t>
            </w:r>
          </w:p>
        </w:tc>
      </w:tr>
      <w:tr>
        <w:tc>
          <w:tcPr>
            <w:tcW w:type="dxa" w:w="831"/>
          </w:tcPr>
          <w:p>
            <w:pPr>
              <w:pStyle w:val="null3"/>
            </w:pPr>
            <w:r>
              <w:rPr/>
              <w:t>3</w:t>
            </w:r>
          </w:p>
        </w:tc>
        <w:tc>
          <w:tcPr>
            <w:tcW w:type="dxa" w:w="2492"/>
          </w:tcPr>
          <w:p>
            <w:pPr>
              <w:pStyle w:val="null3"/>
            </w:pPr>
            <w:r>
              <w:rPr/>
              <w:t>供应商及其项目负责人信息有效可查</w:t>
            </w:r>
          </w:p>
        </w:tc>
        <w:tc>
          <w:tcPr>
            <w:tcW w:type="dxa" w:w="3322"/>
          </w:tcPr>
          <w:p>
            <w:pPr>
              <w:pStyle w:val="null3"/>
            </w:pPr>
            <w:r>
              <w:rPr/>
              <w:t>供应商及项目负责人基本信息应在“陕西建设网（http://js.shaanxi.gov.cn/）陕西省建筑市场监管与诚信信息发布平台”可查询。供应商需在项目电子化交易系统中按要求上传相应证明文件并进行电子签章。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法定代表人证明书或法人授权委托书</w:t>
            </w:r>
          </w:p>
        </w:tc>
        <w:tc>
          <w:tcPr>
            <w:tcW w:type="dxa" w:w="3322"/>
          </w:tcPr>
          <w:p>
            <w:pPr>
              <w:pStyle w:val="null3"/>
            </w:pPr>
            <w:r>
              <w:rPr/>
              <w:t>法定代表人参加磋商的，须出示身份证明；法定代表人授权他人参加磋商的，须提供法定代表人授权委托书及被授权人身份证明。供应商需在项目电子化交易系统中按要求上传相应证明文件并进行电子签章。</w:t>
            </w:r>
          </w:p>
        </w:tc>
        <w:tc>
          <w:tcPr>
            <w:tcW w:type="dxa" w:w="1661"/>
          </w:tcPr>
          <w:p>
            <w:pPr>
              <w:pStyle w:val="null3"/>
            </w:pPr>
            <w:r>
              <w:rPr/>
              <w:t>法人授权格式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磋商有效期</w:t>
            </w:r>
          </w:p>
        </w:tc>
        <w:tc>
          <w:tcPr>
            <w:tcW w:type="dxa" w:w="3322"/>
          </w:tcPr>
          <w:p>
            <w:pPr>
              <w:pStyle w:val="null3"/>
            </w:pPr>
            <w:r>
              <w:rPr/>
              <w:t>不少于90天</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符合磋商文件的格式要求，无重大偏离</w:t>
            </w:r>
          </w:p>
        </w:tc>
        <w:tc>
          <w:tcPr>
            <w:tcW w:type="dxa" w:w="1661"/>
          </w:tcPr>
          <w:p>
            <w:pPr>
              <w:pStyle w:val="null3"/>
            </w:pPr>
            <w:r>
              <w:rPr/>
              <w:t>人员配备 已标价工程量清单 法人授权格式 相关保证措施 中小企业声明函 技术服务合同条款及其他商务要求应答表 供应商应提交的相关资格证明材料 强制优先采购产品承诺函 响应文件封面 机具、设备、劳动力配备方案 项目管理机构组成表 服务承诺及服务措施 残疾人福利性单位声明函 报价函 标的清单 供应商类似项目业绩一览表 施工方案 响应函 主要人员简历表 监狱企业的证明文件</w:t>
            </w:r>
          </w:p>
        </w:tc>
      </w:tr>
      <w:tr>
        <w:tc>
          <w:tcPr>
            <w:tcW w:type="dxa" w:w="831"/>
          </w:tcPr>
          <w:p>
            <w:pPr>
              <w:pStyle w:val="null3"/>
            </w:pPr>
            <w:r>
              <w:rPr/>
              <w:t>4</w:t>
            </w:r>
          </w:p>
        </w:tc>
        <w:tc>
          <w:tcPr>
            <w:tcW w:type="dxa" w:w="2492"/>
          </w:tcPr>
          <w:p>
            <w:pPr>
              <w:pStyle w:val="null3"/>
            </w:pPr>
            <w:r>
              <w:rPr/>
              <w:t>供应商报价合法有效</w:t>
            </w:r>
          </w:p>
        </w:tc>
        <w:tc>
          <w:tcPr>
            <w:tcW w:type="dxa" w:w="3322"/>
          </w:tcPr>
          <w:p>
            <w:pPr>
              <w:pStyle w:val="null3"/>
            </w:pPr>
            <w:r>
              <w:rPr/>
              <w:t>只能有一个有效报价，不得提交选择性报价，且报价不得超过采购预算金额或最高限价</w:t>
            </w:r>
          </w:p>
        </w:tc>
        <w:tc>
          <w:tcPr>
            <w:tcW w:type="dxa" w:w="1661"/>
          </w:tcPr>
          <w:p>
            <w:pPr>
              <w:pStyle w:val="null3"/>
            </w:pPr>
            <w:r>
              <w:rPr/>
              <w:t>响应文件封面 已标价工程量清单 报价函 标的清单 响应函</w:t>
            </w:r>
          </w:p>
        </w:tc>
      </w:tr>
      <w:tr>
        <w:tc>
          <w:tcPr>
            <w:tcW w:type="dxa" w:w="831"/>
          </w:tcPr>
          <w:p>
            <w:pPr>
              <w:pStyle w:val="null3"/>
            </w:pPr>
            <w:r>
              <w:rPr/>
              <w:t>5</w:t>
            </w:r>
          </w:p>
        </w:tc>
        <w:tc>
          <w:tcPr>
            <w:tcW w:type="dxa" w:w="2492"/>
          </w:tcPr>
          <w:p>
            <w:pPr>
              <w:pStyle w:val="null3"/>
            </w:pPr>
            <w:r>
              <w:rPr/>
              <w:t>满足对工期、质量、质量保修期等的要求</w:t>
            </w:r>
          </w:p>
        </w:tc>
        <w:tc>
          <w:tcPr>
            <w:tcW w:type="dxa" w:w="3322"/>
          </w:tcPr>
          <w:p>
            <w:pPr>
              <w:pStyle w:val="null3"/>
            </w:pPr>
            <w:r>
              <w:rPr/>
              <w:t>满足磋商文件要求</w:t>
            </w:r>
          </w:p>
        </w:tc>
        <w:tc>
          <w:tcPr>
            <w:tcW w:type="dxa" w:w="1661"/>
          </w:tcPr>
          <w:p>
            <w:pPr>
              <w:pStyle w:val="null3"/>
            </w:pPr>
            <w:r>
              <w:rPr/>
              <w:t>技术服务合同条款及其他商务要求应答表</w:t>
            </w:r>
          </w:p>
        </w:tc>
      </w:tr>
      <w:tr>
        <w:tc>
          <w:tcPr>
            <w:tcW w:type="dxa" w:w="831"/>
          </w:tcPr>
          <w:p>
            <w:pPr>
              <w:pStyle w:val="null3"/>
            </w:pPr>
            <w:r>
              <w:rPr/>
              <w:t>6</w:t>
            </w:r>
          </w:p>
        </w:tc>
        <w:tc>
          <w:tcPr>
            <w:tcW w:type="dxa" w:w="2492"/>
          </w:tcPr>
          <w:p>
            <w:pPr>
              <w:pStyle w:val="null3"/>
            </w:pPr>
            <w:r>
              <w:rPr/>
              <w:t>符合技术要求，不存在实质性偏离</w:t>
            </w:r>
          </w:p>
        </w:tc>
        <w:tc>
          <w:tcPr>
            <w:tcW w:type="dxa" w:w="3322"/>
          </w:tcPr>
          <w:p>
            <w:pPr>
              <w:pStyle w:val="null3"/>
            </w:pPr>
            <w:r>
              <w:rPr/>
              <w:t>符合技术要求，不存在实质性偏离</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其他实质性要求</w:t>
            </w:r>
          </w:p>
        </w:tc>
        <w:tc>
          <w:tcPr>
            <w:tcW w:type="dxa" w:w="3322"/>
          </w:tcPr>
          <w:p>
            <w:pPr>
              <w:pStyle w:val="null3"/>
            </w:pPr>
            <w:r>
              <w:rPr/>
              <w:t>满足采购文件其他实质性要求</w:t>
            </w:r>
          </w:p>
        </w:tc>
        <w:tc>
          <w:tcPr>
            <w:tcW w:type="dxa" w:w="1661"/>
          </w:tcPr>
          <w:p>
            <w:pPr>
              <w:pStyle w:val="null3"/>
            </w:pPr>
            <w:r>
              <w:rPr/>
              <w:t>人员配备 已标价工程量清单 法人授权格式 相关保证措施 中小企业声明函 技术服务合同条款及其他商务要求应答表 供应商应提交的相关资格证明材料 强制优先采购产品承诺函 响应文件封面 机具、设备、劳动力配备方案 项目管理机构组成表 服务承诺及服务措施 残疾人福利性单位声明函 报价函 标的清单 供应商类似项目业绩一览表 施工方案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针对本项目提供科学、可行、合理的总体施工组织布置、施工方案、方法与技术措施，满足采购人需求 。总体施工组织布置及施工方案、方法与技术科学、合理、可行得9（含）-12分；总体施工组织布置 及施工案、方法与技术较科学、较合理、较可行得5（含）-9分；总体施工组织布置及施工方案、方法 与技术不科学、不合理、可行性较差得1-5分。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人员配备</w:t>
            </w:r>
          </w:p>
        </w:tc>
        <w:tc>
          <w:tcPr>
            <w:tcW w:type="dxa" w:w="2492"/>
          </w:tcPr>
          <w:p>
            <w:pPr>
              <w:pStyle w:val="null3"/>
            </w:pPr>
            <w:r>
              <w:rPr/>
              <w:t>针对本项目提供完善、合理、专业的团队人员（包含项目经理和其他专业人员），满足项目需求，评委 根据供应商提供人员的从业年限、有效证件、业绩等证明材料自主赋分。团队人员完善、合理、专业得 7（含）-10分；团队人员较完善、较合理、较专业得3（含）-7分；团队人员不完善、不合理、不专业 得1-3分。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人员配备</w:t>
            </w:r>
          </w:p>
        </w:tc>
      </w:tr>
      <w:tr>
        <w:tc>
          <w:tcPr>
            <w:tcW w:type="dxa" w:w="831"/>
            <w:vMerge/>
          </w:tcPr>
          <w:p/>
        </w:tc>
        <w:tc>
          <w:tcPr>
            <w:tcW w:type="dxa" w:w="1661"/>
          </w:tcPr>
          <w:p>
            <w:pPr>
              <w:pStyle w:val="null3"/>
            </w:pPr>
            <w:r>
              <w:rPr/>
              <w:t>质量保证措施</w:t>
            </w:r>
          </w:p>
        </w:tc>
        <w:tc>
          <w:tcPr>
            <w:tcW w:type="dxa" w:w="2492"/>
          </w:tcPr>
          <w:p>
            <w:pPr>
              <w:pStyle w:val="null3"/>
            </w:pPr>
            <w:r>
              <w:rPr/>
              <w:t>针对本项目提供的项目质量保证体系及措施科学、合理、可行，满足采购人需求。质量保证体系及措施科学、合理、可行，得4（含）-6分；质量保证体系及措施较科学、较合理、较可行得1-4分。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相关保证措施</w:t>
            </w:r>
          </w:p>
        </w:tc>
      </w:tr>
      <w:tr>
        <w:tc>
          <w:tcPr>
            <w:tcW w:type="dxa" w:w="831"/>
            <w:vMerge/>
          </w:tcPr>
          <w:p/>
        </w:tc>
        <w:tc>
          <w:tcPr>
            <w:tcW w:type="dxa" w:w="1661"/>
          </w:tcPr>
          <w:p>
            <w:pPr>
              <w:pStyle w:val="null3"/>
            </w:pPr>
            <w:r>
              <w:rPr/>
              <w:t>安全保证措施</w:t>
            </w:r>
          </w:p>
        </w:tc>
        <w:tc>
          <w:tcPr>
            <w:tcW w:type="dxa" w:w="2492"/>
          </w:tcPr>
          <w:p>
            <w:pPr>
              <w:pStyle w:val="null3"/>
            </w:pPr>
            <w:r>
              <w:rPr/>
              <w:t>针对本项目提供的项目安全保证措施科学、合理、可行，满足采购人需求。安全保证措施科学、合理、可行得4（含）-6分；安全保证措施较科学、较合理、较可行得1-4分。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相关保证措施</w:t>
            </w:r>
          </w:p>
        </w:tc>
      </w:tr>
      <w:tr>
        <w:tc>
          <w:tcPr>
            <w:tcW w:type="dxa" w:w="831"/>
            <w:vMerge/>
          </w:tcPr>
          <w:p/>
        </w:tc>
        <w:tc>
          <w:tcPr>
            <w:tcW w:type="dxa" w:w="1661"/>
          </w:tcPr>
          <w:p>
            <w:pPr>
              <w:pStyle w:val="null3"/>
            </w:pPr>
            <w:r>
              <w:rPr/>
              <w:t>施工进度计划及措施</w:t>
            </w:r>
          </w:p>
        </w:tc>
        <w:tc>
          <w:tcPr>
            <w:tcW w:type="dxa" w:w="2492"/>
          </w:tcPr>
          <w:p>
            <w:pPr>
              <w:pStyle w:val="null3"/>
            </w:pPr>
            <w:r>
              <w:rPr/>
              <w:t>针对本项目提供的项目进度计划和工期目标，项目进度计划和工期目标科学、合理、可行，满足采购人 需求。项目进度计划和工期目标科学、合理、可行得4（含）-6分；项目进度计划和工期目标科学、合 理性一般、可行性一般得1-4分。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相关保证措施</w:t>
            </w:r>
          </w:p>
        </w:tc>
      </w:tr>
      <w:tr>
        <w:tc>
          <w:tcPr>
            <w:tcW w:type="dxa" w:w="831"/>
            <w:vMerge/>
          </w:tcPr>
          <w:p/>
        </w:tc>
        <w:tc>
          <w:tcPr>
            <w:tcW w:type="dxa" w:w="1661"/>
          </w:tcPr>
          <w:p>
            <w:pPr>
              <w:pStyle w:val="null3"/>
            </w:pPr>
            <w:r>
              <w:rPr/>
              <w:t>风险预测与防范措施</w:t>
            </w:r>
          </w:p>
        </w:tc>
        <w:tc>
          <w:tcPr>
            <w:tcW w:type="dxa" w:w="2492"/>
          </w:tcPr>
          <w:p>
            <w:pPr>
              <w:pStyle w:val="null3"/>
            </w:pPr>
            <w:r>
              <w:rPr/>
              <w:t>项目风险预测与防范，事故应急预案。项目风险预测与防范，事故应急预案科学、合理、可行得4（含）-6分；项目风险预测与防范，事故应急预案较科学、较合理、较可行得1-4分。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相关保证措施</w:t>
            </w:r>
          </w:p>
        </w:tc>
      </w:tr>
      <w:tr>
        <w:tc>
          <w:tcPr>
            <w:tcW w:type="dxa" w:w="831"/>
            <w:vMerge/>
          </w:tcPr>
          <w:p/>
        </w:tc>
        <w:tc>
          <w:tcPr>
            <w:tcW w:type="dxa" w:w="1661"/>
          </w:tcPr>
          <w:p>
            <w:pPr>
              <w:pStyle w:val="null3"/>
            </w:pPr>
            <w:r>
              <w:rPr/>
              <w:t>机具、设备、劳动力 配备方案</w:t>
            </w:r>
          </w:p>
        </w:tc>
        <w:tc>
          <w:tcPr>
            <w:tcW w:type="dxa" w:w="2492"/>
          </w:tcPr>
          <w:p>
            <w:pPr>
              <w:pStyle w:val="null3"/>
            </w:pPr>
            <w:r>
              <w:rPr/>
              <w:t>根据拟投入本项目主要机具、设备和劳动力配置情况，磋商小组自主打分。拟投入的主要机具、设备和 劳动力充分、能满足项目需要得4（含）-6分；拟投入的主要机具、设备和劳动力较充分、基本满足项 目需要得1-4分。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机具、设备、劳动力配备方案</w:t>
            </w:r>
          </w:p>
        </w:tc>
      </w:tr>
      <w:tr>
        <w:tc>
          <w:tcPr>
            <w:tcW w:type="dxa" w:w="831"/>
            <w:vMerge/>
          </w:tcPr>
          <w:p/>
        </w:tc>
        <w:tc>
          <w:tcPr>
            <w:tcW w:type="dxa" w:w="1661"/>
          </w:tcPr>
          <w:p>
            <w:pPr>
              <w:pStyle w:val="null3"/>
            </w:pPr>
            <w:r>
              <w:rPr/>
              <w:t>业绩</w:t>
            </w:r>
          </w:p>
        </w:tc>
        <w:tc>
          <w:tcPr>
            <w:tcW w:type="dxa" w:w="2492"/>
          </w:tcPr>
          <w:p>
            <w:pPr>
              <w:pStyle w:val="null3"/>
            </w:pPr>
            <w:r>
              <w:rPr/>
              <w:t>2021年1月1日以来承接过类似项目的合同证明（以合同的签订日期为准）每提供一个得2分，满分10 分 （合同内容须清晰可辨认，无涂改，否则视为无效合同）。</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保修承诺</w:t>
            </w:r>
          </w:p>
        </w:tc>
        <w:tc>
          <w:tcPr>
            <w:tcW w:type="dxa" w:w="2492"/>
          </w:tcPr>
          <w:p>
            <w:pPr>
              <w:pStyle w:val="null3"/>
            </w:pPr>
            <w:r>
              <w:rPr/>
              <w:t>提供质量保修承诺得2分，未提供，不得分。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服务承诺及服务措施</w:t>
            </w:r>
          </w:p>
        </w:tc>
      </w:tr>
      <w:tr>
        <w:tc>
          <w:tcPr>
            <w:tcW w:type="dxa" w:w="831"/>
            <w:vMerge/>
          </w:tcPr>
          <w:p/>
        </w:tc>
        <w:tc>
          <w:tcPr>
            <w:tcW w:type="dxa" w:w="1661"/>
          </w:tcPr>
          <w:p>
            <w:pPr>
              <w:pStyle w:val="null3"/>
            </w:pPr>
            <w:r>
              <w:rPr/>
              <w:t>后续服务保障措施</w:t>
            </w:r>
          </w:p>
        </w:tc>
        <w:tc>
          <w:tcPr>
            <w:tcW w:type="dxa" w:w="2492"/>
          </w:tcPr>
          <w:p>
            <w:pPr>
              <w:pStyle w:val="null3"/>
            </w:pPr>
            <w:r>
              <w:rPr/>
              <w:t>后续服务保障措施具体、详细、可行得4（含）-6分，后续服务措施较具体、较详细、较可行得1-4分。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服务承诺及服务措施</w:t>
            </w:r>
          </w:p>
        </w:tc>
      </w:tr>
      <w:tr>
        <w:tc>
          <w:tcPr>
            <w:tcW w:type="dxa" w:w="831"/>
            <w:vMerge/>
          </w:tcP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 格分为满分。其他供应商的价格分统一按照下列公式计算： 磋商报价得分=(磋商基准价／磋商报价)×3 0%×100 计算分数时四舍五入取小数点后两位 。注：因落实政府采购政策进行价格调整的，以调整后 的价格计算评标 基准价和磋商报价。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详见附件：法人授权格式</w:t>
      </w:r>
    </w:p>
    <w:p>
      <w:pPr>
        <w:pStyle w:val="null3"/>
        <w:ind w:firstLine="960"/>
      </w:pPr>
      <w:r>
        <w:rPr/>
        <w:t>详见附件：施工方案</w:t>
      </w:r>
    </w:p>
    <w:p>
      <w:pPr>
        <w:pStyle w:val="null3"/>
        <w:ind w:firstLine="960"/>
      </w:pPr>
      <w:r>
        <w:rPr/>
        <w:t>详见附件：机具、设备、劳动力配备方案</w:t>
      </w:r>
    </w:p>
    <w:p>
      <w:pPr>
        <w:pStyle w:val="null3"/>
        <w:ind w:firstLine="960"/>
      </w:pPr>
      <w:r>
        <w:rPr/>
        <w:t>详见附件：相关保证措施</w:t>
      </w:r>
    </w:p>
    <w:p>
      <w:pPr>
        <w:pStyle w:val="null3"/>
        <w:ind w:firstLine="960"/>
      </w:pPr>
      <w:r>
        <w:rPr/>
        <w:t>详见附件：服务承诺及服务措施</w:t>
      </w:r>
    </w:p>
    <w:p>
      <w:pPr>
        <w:pStyle w:val="null3"/>
        <w:ind w:firstLine="960"/>
      </w:pPr>
      <w:r>
        <w:rPr/>
        <w:t>详见附件：人员配备</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