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2024年度老年人意外伤害保险项目</w:t>
      </w:r>
    </w:p>
    <w:p>
      <w:pPr>
        <w:pStyle w:val="null3"/>
        <w:jc w:val="center"/>
        <w:outlineLvl w:val="2"/>
      </w:pPr>
      <w:r>
        <w:rPr>
          <w:b/>
          <w:sz w:val="28"/>
        </w:rPr>
        <w:t>采购项目编号：</w:t>
      </w:r>
      <w:r>
        <w:rPr>
          <w:b/>
          <w:sz w:val="28"/>
        </w:rPr>
        <w:t>慧科.ZX-CE02034BF.</w:t>
      </w:r>
      <w:r>
        <w:br/>
      </w:r>
      <w:r>
        <w:br/>
      </w:r>
      <w:r>
        <w:br/>
      </w:r>
    </w:p>
    <w:p>
      <w:pPr>
        <w:pStyle w:val="null3"/>
        <w:jc w:val="center"/>
        <w:outlineLvl w:val="2"/>
      </w:pPr>
      <w:r>
        <w:rPr>
          <w:b/>
          <w:sz w:val="28"/>
        </w:rPr>
        <w:t>西安市临潼区民政局</w:t>
      </w:r>
    </w:p>
    <w:p>
      <w:pPr>
        <w:pStyle w:val="null3"/>
        <w:jc w:val="center"/>
        <w:outlineLvl w:val="2"/>
      </w:pPr>
      <w:r>
        <w:rPr>
          <w:b/>
          <w:sz w:val="28"/>
        </w:rPr>
        <w:t>陕西慧科工程管理咨询有限公司</w:t>
      </w:r>
      <w:r>
        <w:rPr>
          <w:b/>
          <w:sz w:val="28"/>
        </w:rPr>
        <w:t>共同编制</w:t>
      </w:r>
    </w:p>
    <w:p>
      <w:pPr>
        <w:pStyle w:val="null3"/>
        <w:jc w:val="center"/>
        <w:outlineLvl w:val="2"/>
      </w:pPr>
      <w:r>
        <w:rPr>
          <w:b/>
          <w:sz w:val="28"/>
        </w:rPr>
        <w:t>2024年04月02日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陕西慧科工程管理咨询有限公司</w:t>
      </w:r>
      <w:r>
        <w:rPr/>
        <w:t>（以下简称“代理机构”）受</w:t>
      </w:r>
      <w:r>
        <w:rPr/>
        <w:t>西安市临潼区民政局</w:t>
      </w:r>
      <w:r>
        <w:rPr/>
        <w:t>委托，拟对</w:t>
      </w:r>
      <w:r>
        <w:rPr/>
        <w:t>2024年度老年人意外伤害保险项目</w:t>
      </w:r>
      <w:r>
        <w:rPr/>
        <w:t>采用竞争性磋商采购方式进行采购，兹邀请供应商参加本项目的竞争性磋商。</w:t>
      </w:r>
    </w:p>
    <w:p>
      <w:pPr>
        <w:pStyle w:val="null3"/>
        <w:outlineLvl w:val="2"/>
      </w:pPr>
      <w:r>
        <w:rPr>
          <w:b/>
          <w:sz w:val="28"/>
        </w:rPr>
        <w:t>一、项目编号：</w:t>
      </w:r>
      <w:r>
        <w:rPr>
          <w:b/>
          <w:sz w:val="28"/>
        </w:rPr>
        <w:t>慧科.ZX-CE02034BF.</w:t>
      </w:r>
    </w:p>
    <w:p>
      <w:pPr>
        <w:pStyle w:val="null3"/>
        <w:outlineLvl w:val="2"/>
      </w:pPr>
      <w:r>
        <w:rPr>
          <w:b/>
          <w:sz w:val="28"/>
        </w:rPr>
        <w:t>二、项目名称：</w:t>
      </w:r>
      <w:r>
        <w:rPr>
          <w:b/>
          <w:sz w:val="28"/>
        </w:rPr>
        <w:t>2024年度老年人意外伤害保险项目</w:t>
      </w:r>
    </w:p>
    <w:p>
      <w:pPr>
        <w:pStyle w:val="null3"/>
        <w:outlineLvl w:val="2"/>
      </w:pPr>
      <w:r>
        <w:rPr>
          <w:b/>
          <w:sz w:val="28"/>
        </w:rPr>
        <w:t>三、磋商项目简介</w:t>
      </w:r>
    </w:p>
    <w:p>
      <w:pPr>
        <w:pStyle w:val="null3"/>
        <w:ind w:firstLine="480"/>
      </w:pPr>
      <w:r>
        <w:rPr/>
        <w:t>政府出资为符合“政府补贴对象”条件之一的老年人购买一份（若老年人符合两个及以上条件的，政府出资有且只有一份）保险。 60 周岁及以上享受城乡最低生活保障待遇人员、城乡特困供养人员、享受国家定期抚恤补助优抚对象中居家养老的老人和 80周岁及以上居家养老的老人。</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并出具合法有效的营业执照或事业单位法人证书等国家规定的相关证明，自然人参与的提供其身份证明书：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p>
      <w:pPr>
        <w:pStyle w:val="null3"/>
      </w:pPr>
      <w:r>
        <w:rPr/>
        <w:t>2、具备有效的《经营保险业务许可证》：具备有效的《经营保险业务许可证》：供应商需在项目电子化交易系统中提供相关证明文件并进行电子签章</w:t>
      </w:r>
    </w:p>
    <w:p>
      <w:pPr>
        <w:pStyle w:val="null3"/>
      </w:pPr>
      <w:r>
        <w:rPr/>
        <w:t>3、提供2022年度或2023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提供2022年度或2023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p>
      <w:pPr>
        <w:pStyle w:val="null3"/>
      </w:pPr>
      <w:r>
        <w:rPr/>
        <w:t>4、提供递交响应文件截止之日前一年内任意一个月的依法缴纳税收的相关凭据（时间以税款所属日期为准），依法免税或无须缴纳税收的供应商，应提供相应证明文件：提供递交响应文件截止之日前一年内任意一个月的依法缴纳税收的相关凭据（时间以税款所属日期为准），依法免税或无须缴纳税收的供应商，应提供相应证明文件：供应商需在项目电子化交易系统中提供相关证明文件并进行电子签章</w:t>
      </w:r>
    </w:p>
    <w:p>
      <w:pPr>
        <w:pStyle w:val="null3"/>
      </w:pPr>
      <w:r>
        <w:rPr/>
        <w:t>5、提供递交响应文件截止之日前一年内任意一个月的社会保障资金缴纳证明，依法不需要缴纳社会保障资金的供应商应提供相关文件证明：提供递交响应文件截止之日前一年内任意一个月的社会保障资金缴纳证明，依法不需要缴纳社会保障资金的供应商应提供相关文件证明：供应商需在项目电子化交易系统中提供相关证明文件并进行电子签章</w:t>
      </w:r>
    </w:p>
    <w:p>
      <w:pPr>
        <w:pStyle w:val="null3"/>
      </w:pPr>
      <w:r>
        <w:rPr/>
        <w:t>6、参加政府采购活动前3年内在经营活动中没有重大违法记录的书面声明：参加政府采购活动前3年内在经营活动中没有重大违法记录的书面声明：供应商需在项目电子化交易系统中提供书面声明并进行电子签章</w:t>
      </w:r>
    </w:p>
    <w:p>
      <w:pPr>
        <w:pStyle w:val="null3"/>
      </w:pPr>
      <w:r>
        <w:rPr/>
        <w:t>7、具备履行合同所必需的设备和专业技术能力的证明材料：具备履行合同所必需的设备和专业技术能力的证明材料：供应商需在项目电子化交易系统中提供承诺并进行电子签章</w:t>
      </w:r>
    </w:p>
    <w:p>
      <w:pPr>
        <w:pStyle w:val="null3"/>
      </w:pPr>
      <w:r>
        <w:rPr/>
        <w:t>8、供应商未被列入“中国执行信息公开网”失信被执行人名单，未被列入“信用中国”网站、重大税收违法失信主体，未被列入“中国政府采购网”政府采购严重违法失信行为记录名单：供应商未被列入“中国执行信息公开网”失信被执行人名单，未被列入“信用中国”网站、重大税收违法失信主体，未被列入“中国政府采购网”政府采购严重违法失信行为记录名单：以评标现场查询结果为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西安市临潼区民政局</w:t>
      </w:r>
    </w:p>
    <w:p>
      <w:pPr>
        <w:pStyle w:val="null3"/>
      </w:pPr>
      <w:r>
        <w:rPr/>
        <w:t xml:space="preserve"> 地址： </w:t>
      </w:r>
      <w:r>
        <w:rPr/>
        <w:t>临潼区桃源路83号</w:t>
      </w:r>
    </w:p>
    <w:p>
      <w:pPr>
        <w:pStyle w:val="null3"/>
      </w:pPr>
      <w:r>
        <w:rPr/>
        <w:t xml:space="preserve"> 邮编： </w:t>
      </w:r>
      <w:r>
        <w:rPr/>
        <w:t>710699</w:t>
      </w:r>
    </w:p>
    <w:p>
      <w:pPr>
        <w:pStyle w:val="null3"/>
      </w:pPr>
      <w:r>
        <w:rPr/>
        <w:t xml:space="preserve"> 联系人： </w:t>
      </w:r>
      <w:r>
        <w:rPr/>
        <w:t>周老师</w:t>
      </w:r>
    </w:p>
    <w:p>
      <w:pPr>
        <w:pStyle w:val="null3"/>
      </w:pPr>
      <w:r>
        <w:rPr/>
        <w:t xml:space="preserve"> 联系电话： </w:t>
      </w:r>
      <w:r>
        <w:rPr/>
        <w:t>029-83873863</w:t>
      </w:r>
    </w:p>
    <w:p>
      <w:pPr>
        <w:pStyle w:val="null3"/>
        <w:outlineLvl w:val="3"/>
      </w:pPr>
      <w:r>
        <w:rPr>
          <w:b/>
          <w:sz w:val="24"/>
        </w:rPr>
        <w:t>代理机构：</w:t>
      </w:r>
      <w:r>
        <w:rPr>
          <w:b/>
          <w:sz w:val="24"/>
        </w:rPr>
        <w:t>陕西慧科工程管理咨询有限公司</w:t>
      </w:r>
    </w:p>
    <w:p>
      <w:pPr>
        <w:pStyle w:val="null3"/>
      </w:pPr>
      <w:r>
        <w:rPr/>
        <w:t xml:space="preserve"> 地址： </w:t>
      </w:r>
      <w:r>
        <w:rPr/>
        <w:t>西安市高新区锦业一路56号研祥城市广场C座3楼C-306室</w:t>
      </w:r>
    </w:p>
    <w:p>
      <w:pPr>
        <w:pStyle w:val="null3"/>
      </w:pPr>
      <w:r>
        <w:rPr/>
        <w:t xml:space="preserve"> 邮编： </w:t>
      </w:r>
      <w:r>
        <w:rPr/>
        <w:t>710076</w:t>
      </w:r>
    </w:p>
    <w:p>
      <w:pPr>
        <w:pStyle w:val="null3"/>
      </w:pPr>
      <w:r>
        <w:rPr/>
        <w:t xml:space="preserve"> 联系人： </w:t>
      </w:r>
      <w:r>
        <w:rPr/>
        <w:t>李小刚</w:t>
      </w:r>
    </w:p>
    <w:p>
      <w:pPr>
        <w:pStyle w:val="null3"/>
      </w:pPr>
      <w:r>
        <w:rPr/>
        <w:t xml:space="preserve"> 联系电话： </w:t>
      </w:r>
      <w:r>
        <w:rPr/>
        <w:t>029-89384142</w:t>
      </w:r>
    </w:p>
    <w:p>
      <w:pPr>
        <w:pStyle w:val="null3"/>
        <w:outlineLvl w:val="3"/>
      </w:pPr>
      <w:r>
        <w:rPr>
          <w:b/>
          <w:sz w:val="24"/>
        </w:rPr>
        <w:t>采购监督机构：</w:t>
      </w:r>
      <w:r>
        <w:rPr>
          <w:b/>
          <w:sz w:val="24"/>
        </w:rPr>
        <w:t>西安市临潼区财政局</w:t>
      </w:r>
    </w:p>
    <w:p>
      <w:pPr>
        <w:pStyle w:val="null3"/>
        <w:ind w:firstLine="480"/>
      </w:pPr>
      <w:r>
        <w:rPr/>
        <w:t>联系人：</w:t>
      </w:r>
      <w:r>
        <w:rPr/>
        <w:t>西安市临潼区财政局</w:t>
      </w:r>
    </w:p>
    <w:p>
      <w:pPr>
        <w:pStyle w:val="null3"/>
        <w:ind w:firstLine="480"/>
      </w:pPr>
      <w:r>
        <w:rPr/>
        <w:t>联系电话：</w:t>
      </w:r>
      <w:r>
        <w:rPr/>
        <w:t>029-89821701</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采购包1：587,680.00元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关于印发招标代理服务收费管理暂行办法的通知》（计价格〔2002〕1980号）和国家发改委办公厅《关于招标代理服务收费有关问题的通知》（发改办价格〔2003〕857号）文件规定标准收取，成交单位在领取成交通知书时向代理机构支付代理服务费。缴纳账户如下： 户名：陕西慧科工程管理咨询有限公司 账号：611301135013001841428 开户行：交通银行股份有限公司西安光华路支行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西安市临潼区民政局</w:t>
      </w:r>
      <w:r>
        <w:rPr/>
        <w:t>和</w:t>
      </w:r>
      <w:r>
        <w:rPr/>
        <w:t>陕西慧科工程管理咨询有限公司</w:t>
      </w:r>
      <w:r>
        <w:rPr/>
        <w:t>享有。对磋商文件中供应商参加本次政府采购活动应当具备的条件，磋商项目技术、服务、商务及其他要求，评审细则及标准由</w:t>
      </w:r>
      <w:r>
        <w:rPr/>
        <w:t>西安市临潼区民政局</w:t>
      </w:r>
      <w:r>
        <w:rPr/>
        <w:t>负责解释。除上述磋商文件内容，其他内容由</w:t>
      </w:r>
      <w:r>
        <w:rPr/>
        <w:t>陕西慧科工程管理咨询有限公司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西安市临潼区民政局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陕西慧科工程管理咨询有限公司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陕西慧科工程管理咨询有限公司</w:t>
      </w:r>
      <w:r>
        <w:rPr/>
        <w:t xml:space="preserve"> 负责答复；供应商对除采购需求外的采购文件的询问、质疑由</w:t>
      </w:r>
      <w:r>
        <w:rPr/>
        <w:t>陕西慧科工程管理咨询有限公司</w:t>
      </w:r>
      <w:r>
        <w:rPr/>
        <w:t xml:space="preserve"> 负责答复；供应商对采购过程、采购结果的询问、质疑由 </w:t>
      </w:r>
      <w:r>
        <w:rPr/>
        <w:t>陕西慧科工程管理咨询有限公司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联系人：李小刚</w:t>
      </w:r>
    </w:p>
    <w:p>
      <w:pPr>
        <w:pStyle w:val="null3"/>
      </w:pPr>
      <w:r>
        <w:rPr/>
        <w:t>联系电话：029-89384142</w:t>
      </w:r>
    </w:p>
    <w:p>
      <w:pPr>
        <w:pStyle w:val="null3"/>
      </w:pPr>
      <w:r>
        <w:rPr/>
        <w:t>地址：西安市高新区锦业一路56号研祥城市广场C座3楼C-306室</w:t>
      </w:r>
    </w:p>
    <w:p>
      <w:pPr>
        <w:pStyle w:val="null3"/>
      </w:pPr>
      <w:r>
        <w:rPr/>
        <w:t>邮编：710076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政府出资为符合“政府补贴对象”条件之一的老年人购买一份（若老年人符合两个及以上条件的，政府出资有且只有一份）保险。 60 周岁及以上享受城乡最低生活保障待遇人员、城乡特困供养人员、享受国家定期抚恤补助优抚对象中居家养老的老人和 80周岁及以上居家养老的老人。</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587,680.00</w:t>
      </w:r>
    </w:p>
    <w:p>
      <w:pPr>
        <w:pStyle w:val="null3"/>
      </w:pPr>
      <w:r>
        <w:rPr/>
        <w:t>采购包最高限价（元）: 587,680.00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2024年度老年人意外伤害保险项目</w:t>
            </w:r>
          </w:p>
        </w:tc>
        <w:tc>
          <w:tcPr>
            <w:tcW w:type="dxa" w:w="831"/>
          </w:tcPr>
          <w:p>
            <w:pPr>
              <w:pStyle w:val="null3"/>
              <w:jc w:val="right"/>
            </w:pPr>
            <w:r>
              <w:rPr/>
              <w:t>1.00</w:t>
            </w:r>
          </w:p>
        </w:tc>
        <w:tc>
          <w:tcPr>
            <w:tcW w:type="dxa" w:w="831"/>
          </w:tcPr>
          <w:p>
            <w:pPr>
              <w:pStyle w:val="null3"/>
              <w:jc w:val="right"/>
            </w:pPr>
            <w:r>
              <w:rPr/>
              <w:t>587,680.00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标的名称：2024年度老年人意外伤害保险项目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before="105"/>
              <w:jc w:val="both"/>
            </w:pPr>
            <w:r>
              <w:rPr>
                <w:rFonts w:ascii="宋体" w:hAnsi="宋体" w:cs="宋体" w:eastAsia="宋体"/>
                <w:b/>
                <w:sz w:val="21"/>
                <w:shd w:fill="FFFFFF" w:val="clear"/>
              </w:rPr>
              <w:t>一、招标内容</w:t>
            </w:r>
          </w:p>
          <w:p>
            <w:pPr>
              <w:pStyle w:val="null3"/>
              <w:spacing w:before="105"/>
              <w:ind w:firstLine="420"/>
              <w:jc w:val="both"/>
            </w:pPr>
            <w:r>
              <w:rPr>
                <w:rFonts w:ascii="宋体" w:hAnsi="宋体" w:cs="宋体" w:eastAsia="宋体"/>
                <w:sz w:val="21"/>
                <w:shd w:fill="FFFFFF" w:val="clear"/>
              </w:rPr>
              <w:t>保险费标准为每人</w:t>
            </w:r>
            <w:r>
              <w:rPr>
                <w:rFonts w:ascii="宋体" w:hAnsi="宋体" w:cs="宋体" w:eastAsia="宋体"/>
                <w:sz w:val="21"/>
                <w:shd w:fill="FFFFFF" w:val="clear"/>
              </w:rPr>
              <w:t>20元/份/年。允许投保人购买多份保险。</w:t>
            </w:r>
          </w:p>
          <w:p>
            <w:pPr>
              <w:pStyle w:val="null3"/>
              <w:spacing w:before="105"/>
              <w:ind w:firstLine="420"/>
              <w:jc w:val="both"/>
            </w:pPr>
            <w:r>
              <w:rPr>
                <w:rFonts w:ascii="宋体" w:hAnsi="宋体" w:cs="宋体" w:eastAsia="宋体"/>
                <w:sz w:val="21"/>
                <w:shd w:fill="FFFFFF" w:val="clear"/>
              </w:rPr>
              <w:t>政府出资为符合</w:t>
            </w:r>
            <w:r>
              <w:rPr>
                <w:rFonts w:ascii="宋体" w:hAnsi="宋体" w:cs="宋体" w:eastAsia="宋体"/>
                <w:sz w:val="21"/>
                <w:shd w:fill="FFFFFF" w:val="clear"/>
              </w:rPr>
              <w:t>“政府补贴对象”条件之一的老年人购买一份（若老年人符合两个及以上条件的，政府出资有且只有一份）保险。</w:t>
            </w:r>
          </w:p>
          <w:p>
            <w:pPr>
              <w:pStyle w:val="null3"/>
              <w:spacing w:before="105"/>
              <w:ind w:firstLine="420"/>
              <w:jc w:val="both"/>
            </w:pPr>
            <w:r>
              <w:rPr>
                <w:rFonts w:ascii="宋体" w:hAnsi="宋体" w:cs="宋体" w:eastAsia="宋体"/>
                <w:sz w:val="21"/>
                <w:shd w:fill="FFFFFF" w:val="clear"/>
              </w:rPr>
              <w:t>60 周岁及以上享受城乡最低生活保障待遇人员、城乡特困供养人员、享受国家定期抚恤补助优抚对象中居家养老的老人和 80周岁及以上居家养老的老人。</w:t>
            </w:r>
          </w:p>
          <w:p>
            <w:pPr>
              <w:pStyle w:val="null3"/>
              <w:jc w:val="both"/>
            </w:pPr>
            <w:r>
              <w:rPr>
                <w:rFonts w:ascii="宋体" w:hAnsi="宋体" w:cs="宋体" w:eastAsia="宋体"/>
                <w:b/>
                <w:sz w:val="21"/>
                <w:shd w:fill="FFFFFF" w:val="clear"/>
              </w:rPr>
              <w:t>二、保障人群</w:t>
            </w:r>
          </w:p>
          <w:tbl>
            <w:tblPr>
              <w:tblInd w:type="dxa" w:w="135"/>
              <w:tblBorders>
                <w:top w:val="none" w:color="000000" w:sz="4"/>
                <w:left w:val="none" w:color="000000" w:sz="4"/>
                <w:bottom w:val="none" w:color="000000" w:sz="4"/>
                <w:right w:val="none" w:color="000000" w:sz="4"/>
                <w:insideH w:val="none"/>
                <w:insideV w:val="none"/>
              </w:tblBorders>
            </w:tblPr>
            <w:tblGrid>
              <w:gridCol w:w="247"/>
              <w:gridCol w:w="367"/>
              <w:gridCol w:w="1171"/>
              <w:gridCol w:w="767"/>
            </w:tblGrid>
            <w:tr>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宋体" w:hAnsi="宋体" w:cs="宋体" w:eastAsia="宋体"/>
                      <w:b/>
                      <w:sz w:val="21"/>
                    </w:rPr>
                    <w:t>序号</w:t>
                  </w:r>
                </w:p>
              </w:tc>
              <w:tc>
                <w:tcPr>
                  <w:tcW w:type="dxa" w:w="36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宋体" w:hAnsi="宋体" w:cs="宋体" w:eastAsia="宋体"/>
                      <w:b/>
                      <w:sz w:val="21"/>
                    </w:rPr>
                    <w:t>保险责任</w:t>
                  </w:r>
                </w:p>
              </w:tc>
              <w:tc>
                <w:tcPr>
                  <w:tcW w:type="dxa" w:w="11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firstLine="1680"/>
                    <w:jc w:val="left"/>
                  </w:pPr>
                  <w:r>
                    <w:rPr>
                      <w:rFonts w:ascii="宋体" w:hAnsi="宋体" w:cs="宋体" w:eastAsia="宋体"/>
                      <w:b/>
                      <w:sz w:val="21"/>
                    </w:rPr>
                    <w:t>参保人群</w:t>
                  </w:r>
                </w:p>
              </w:tc>
              <w:tc>
                <w:tcPr>
                  <w:tcW w:type="dxa" w:w="76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firstLine="560"/>
                    <w:jc w:val="left"/>
                  </w:pPr>
                  <w:r>
                    <w:rPr>
                      <w:rFonts w:ascii="宋体" w:hAnsi="宋体" w:cs="宋体" w:eastAsia="宋体"/>
                      <w:b/>
                      <w:sz w:val="21"/>
                    </w:rPr>
                    <w:t>数量</w:t>
                  </w: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宋体" w:hAnsi="宋体" w:cs="宋体" w:eastAsia="宋体"/>
                      <w:sz w:val="21"/>
                    </w:rPr>
                    <w:t>1</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宋体" w:hAnsi="宋体" w:cs="宋体" w:eastAsia="宋体"/>
                      <w:sz w:val="21"/>
                    </w:rPr>
                    <w:t>老年人意外伤害保险</w:t>
                  </w:r>
                </w:p>
              </w:tc>
              <w:tc>
                <w:tcPr>
                  <w:tcW w:type="dxa" w:w="11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420"/>
                    <w:jc w:val="left"/>
                  </w:pPr>
                  <w:r>
                    <w:rPr>
                      <w:rFonts w:ascii="宋体" w:hAnsi="宋体" w:cs="宋体" w:eastAsia="宋体"/>
                      <w:sz w:val="21"/>
                    </w:rPr>
                    <w:t>西安市</w:t>
                  </w:r>
                  <w:r>
                    <w:rPr>
                      <w:rFonts w:ascii="宋体" w:hAnsi="宋体" w:cs="宋体" w:eastAsia="宋体"/>
                      <w:sz w:val="21"/>
                    </w:rPr>
                    <w:t>60周岁以上享受城乡最低生活保障待遇人员、城镇“三无”人员、农村“五保”对象及重点优抚对象中居家养老的老人和80周岁以上居家养老的老人。</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宋体" w:hAnsi="宋体" w:cs="宋体" w:eastAsia="宋体"/>
                      <w:sz w:val="21"/>
                    </w:rPr>
                    <w:t>“政府补贴人群”预计</w:t>
                  </w:r>
                  <w:r>
                    <w:rPr>
                      <w:rFonts w:ascii="宋体" w:hAnsi="宋体" w:cs="宋体" w:eastAsia="宋体"/>
                      <w:sz w:val="21"/>
                      <w:shd w:fill="FFFFFF" w:val="clear"/>
                    </w:rPr>
                    <w:t>2.9384</w:t>
                  </w:r>
                  <w:r>
                    <w:rPr>
                      <w:rFonts w:ascii="宋体" w:hAnsi="宋体" w:cs="宋体" w:eastAsia="宋体"/>
                      <w:sz w:val="21"/>
                    </w:rPr>
                    <w:t>万人，保险费标准为每人</w:t>
                  </w:r>
                  <w:r>
                    <w:rPr>
                      <w:rFonts w:ascii="宋体" w:hAnsi="宋体" w:cs="宋体" w:eastAsia="宋体"/>
                      <w:sz w:val="21"/>
                    </w:rPr>
                    <w:t>20元/份/年。</w:t>
                  </w:r>
                  <w:r>
                    <w:rPr>
                      <w:rFonts w:ascii="宋体" w:hAnsi="宋体" w:cs="宋体" w:eastAsia="宋体"/>
                      <w:sz w:val="21"/>
                    </w:rPr>
                    <w:t>最终以实际参保人数为准。</w:t>
                  </w:r>
                </w:p>
              </w:tc>
            </w:tr>
          </w:tbl>
          <w:p>
            <w:pPr>
              <w:pStyle w:val="null3"/>
              <w:jc w:val="both"/>
            </w:pPr>
            <w:r>
              <w:rPr>
                <w:rFonts w:ascii="宋体" w:hAnsi="宋体" w:cs="宋体" w:eastAsia="宋体"/>
                <w:b/>
                <w:sz w:val="21"/>
                <w:shd w:fill="FFFFFF" w:val="clear"/>
              </w:rPr>
              <w:t>三、保险种类</w:t>
            </w:r>
          </w:p>
          <w:tbl>
            <w:tblPr>
              <w:tblBorders>
                <w:top w:val="none" w:color="000000" w:sz="4"/>
                <w:left w:val="none" w:color="000000" w:sz="4"/>
                <w:bottom w:val="none" w:color="000000" w:sz="4"/>
                <w:right w:val="none" w:color="000000" w:sz="4"/>
                <w:insideH w:val="none"/>
                <w:insideV w:val="none"/>
              </w:tblBorders>
            </w:tblPr>
            <w:tblGrid>
              <w:gridCol w:w="943"/>
              <w:gridCol w:w="1610"/>
            </w:tblGrid>
            <w:tr>
              <w:tc>
                <w:tcPr>
                  <w:tcW w:type="dxa" w:w="9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宋体" w:hAnsi="宋体" w:cs="宋体" w:eastAsia="宋体"/>
                      <w:b/>
                      <w:sz w:val="21"/>
                    </w:rPr>
                    <w:t>保险范围</w:t>
                  </w:r>
                </w:p>
              </w:tc>
              <w:tc>
                <w:tcPr>
                  <w:tcW w:type="dxa" w:w="161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宋体" w:hAnsi="宋体" w:cs="宋体" w:eastAsia="宋体"/>
                      <w:b/>
                      <w:sz w:val="21"/>
                    </w:rPr>
                    <w:t>赔偿限额</w:t>
                  </w:r>
                </w:p>
              </w:tc>
            </w:tr>
            <w:tr>
              <w:tc>
                <w:tcPr>
                  <w:tcW w:type="dxa" w:w="94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1"/>
                    </w:rPr>
                    <w:t>各类居家养老服务机构内</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宋体" w:hAnsi="宋体" w:cs="宋体" w:eastAsia="宋体"/>
                      <w:sz w:val="21"/>
                    </w:rPr>
                    <w:t>意外身故最高赔偿限额</w:t>
                  </w:r>
                  <w:r>
                    <w:rPr>
                      <w:rFonts w:ascii="宋体" w:hAnsi="宋体" w:cs="宋体" w:eastAsia="宋体"/>
                      <w:sz w:val="21"/>
                    </w:rPr>
                    <w:t>60000元/人</w:t>
                  </w:r>
                </w:p>
              </w:tc>
            </w:tr>
            <w:tr>
              <w:tc>
                <w:tcPr>
                  <w:tcW w:type="dxa" w:w="943"/>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宋体" w:hAnsi="宋体" w:cs="宋体" w:eastAsia="宋体"/>
                      <w:sz w:val="21"/>
                    </w:rPr>
                    <w:t>意外残疾最高赔偿限额</w:t>
                  </w:r>
                  <w:r>
                    <w:rPr>
                      <w:rFonts w:ascii="宋体" w:hAnsi="宋体" w:cs="宋体" w:eastAsia="宋体"/>
                      <w:sz w:val="21"/>
                    </w:rPr>
                    <w:t>60000元/人</w:t>
                  </w:r>
                </w:p>
              </w:tc>
            </w:tr>
            <w:tr>
              <w:tc>
                <w:tcPr>
                  <w:tcW w:type="dxa" w:w="943"/>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宋体" w:hAnsi="宋体" w:cs="宋体" w:eastAsia="宋体"/>
                      <w:sz w:val="21"/>
                    </w:rPr>
                    <w:t>意外伤害医疗费最高赔偿限额</w:t>
                  </w:r>
                  <w:r>
                    <w:rPr>
                      <w:rFonts w:ascii="宋体" w:hAnsi="宋体" w:cs="宋体" w:eastAsia="宋体"/>
                      <w:sz w:val="21"/>
                    </w:rPr>
                    <w:t>10000元/人</w:t>
                  </w:r>
                </w:p>
              </w:tc>
            </w:tr>
            <w:tr>
              <w:tc>
                <w:tcPr>
                  <w:tcW w:type="dxa" w:w="94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宋体" w:hAnsi="宋体" w:cs="宋体" w:eastAsia="宋体"/>
                      <w:sz w:val="21"/>
                    </w:rPr>
                    <w:t>1.居所、庭院、小区内、小区周围广场、道路等日常生活空间；</w:t>
                  </w:r>
                </w:p>
                <w:p>
                  <w:pPr>
                    <w:pStyle w:val="null3"/>
                    <w:spacing w:before="105" w:after="105"/>
                    <w:ind w:left="105"/>
                    <w:jc w:val="left"/>
                  </w:pPr>
                  <w:r>
                    <w:rPr>
                      <w:rFonts w:ascii="宋体" w:hAnsi="宋体" w:cs="宋体" w:eastAsia="宋体"/>
                      <w:sz w:val="21"/>
                    </w:rPr>
                    <w:t>2.农贸市场、超市、宾馆、饭店等营业性服务场所及上述列明范围外的其他区域。</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宋体" w:hAnsi="宋体" w:cs="宋体" w:eastAsia="宋体"/>
                      <w:sz w:val="21"/>
                    </w:rPr>
                    <w:t>意外身故最高赔偿限额</w:t>
                  </w:r>
                  <w:r>
                    <w:rPr>
                      <w:rFonts w:ascii="宋体" w:hAnsi="宋体" w:cs="宋体" w:eastAsia="宋体"/>
                      <w:sz w:val="21"/>
                    </w:rPr>
                    <w:t>20000元/人</w:t>
                  </w:r>
                </w:p>
              </w:tc>
            </w:tr>
            <w:tr>
              <w:tc>
                <w:tcPr>
                  <w:tcW w:type="dxa" w:w="943"/>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宋体" w:hAnsi="宋体" w:cs="宋体" w:eastAsia="宋体"/>
                      <w:sz w:val="21"/>
                    </w:rPr>
                    <w:t>意外残疾最高赔偿限额</w:t>
                  </w:r>
                  <w:r>
                    <w:rPr>
                      <w:rFonts w:ascii="宋体" w:hAnsi="宋体" w:cs="宋体" w:eastAsia="宋体"/>
                      <w:sz w:val="21"/>
                    </w:rPr>
                    <w:t>20000元/人</w:t>
                  </w:r>
                </w:p>
              </w:tc>
            </w:tr>
            <w:tr>
              <w:tc>
                <w:tcPr>
                  <w:tcW w:type="dxa" w:w="943"/>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宋体" w:hAnsi="宋体" w:cs="宋体" w:eastAsia="宋体"/>
                      <w:sz w:val="21"/>
                    </w:rPr>
                    <w:t>意外伤害医疗费最高赔偿限额</w:t>
                  </w:r>
                  <w:r>
                    <w:rPr>
                      <w:rFonts w:ascii="宋体" w:hAnsi="宋体" w:cs="宋体" w:eastAsia="宋体"/>
                      <w:sz w:val="21"/>
                    </w:rPr>
                    <w:t>3000元/人</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left"/>
                  </w:pPr>
                  <w:r>
                    <w:rPr>
                      <w:rFonts w:ascii="宋体" w:hAnsi="宋体" w:cs="宋体" w:eastAsia="宋体"/>
                      <w:sz w:val="21"/>
                    </w:rPr>
                    <w:t>备注：</w:t>
                  </w:r>
                </w:p>
                <w:p>
                  <w:pPr>
                    <w:pStyle w:val="null3"/>
                    <w:spacing w:before="105" w:after="105"/>
                    <w:ind w:left="420"/>
                    <w:jc w:val="left"/>
                  </w:pPr>
                  <w:r>
                    <w:rPr>
                      <w:rFonts w:ascii="宋体" w:hAnsi="宋体" w:cs="宋体" w:eastAsia="宋体"/>
                      <w:sz w:val="21"/>
                    </w:rPr>
                    <w:t>1.意外伤害住院津贴：30元/天/人/份；全年住院累计最长赔偿180天。</w:t>
                  </w:r>
                </w:p>
                <w:p>
                  <w:pPr>
                    <w:pStyle w:val="null3"/>
                    <w:spacing w:before="105" w:after="105"/>
                    <w:ind w:left="420"/>
                    <w:jc w:val="left"/>
                  </w:pPr>
                  <w:r>
                    <w:rPr>
                      <w:rFonts w:ascii="宋体" w:hAnsi="宋体" w:cs="宋体" w:eastAsia="宋体"/>
                      <w:sz w:val="21"/>
                    </w:rPr>
                    <w:t>2.意外医疗费免赔额：100元/次。</w:t>
                  </w:r>
                </w:p>
                <w:p>
                  <w:pPr>
                    <w:pStyle w:val="null3"/>
                    <w:spacing w:before="105" w:after="105"/>
                    <w:ind w:left="420"/>
                    <w:jc w:val="both"/>
                  </w:pPr>
                  <w:r>
                    <w:rPr>
                      <w:rFonts w:ascii="宋体" w:hAnsi="宋体" w:cs="宋体" w:eastAsia="宋体"/>
                      <w:sz w:val="21"/>
                    </w:rPr>
                    <w:t>3.意外医疗费赔付比例：通过医保先行赔付的意外医疗费，剩余部分在医保赔付的范围内保险人同意</w:t>
                  </w:r>
                </w:p>
                <w:p>
                  <w:pPr>
                    <w:pStyle w:val="null3"/>
                    <w:spacing w:before="105" w:after="105"/>
                    <w:ind w:left="420"/>
                    <w:jc w:val="both"/>
                  </w:pPr>
                  <w:r>
                    <w:rPr>
                      <w:rFonts w:ascii="宋体" w:hAnsi="宋体" w:cs="宋体" w:eastAsia="宋体"/>
                      <w:sz w:val="21"/>
                    </w:rPr>
                    <w:t>按照</w:t>
                  </w:r>
                  <w:r>
                    <w:rPr>
                      <w:rFonts w:ascii="宋体" w:hAnsi="宋体" w:cs="宋体" w:eastAsia="宋体"/>
                      <w:sz w:val="21"/>
                    </w:rPr>
                    <w:t>100%赔付；不通过医保直接向保险人赔付的意外医疗费，在医保赔付的范围内保险人同意按照</w:t>
                  </w:r>
                </w:p>
                <w:p>
                  <w:pPr>
                    <w:pStyle w:val="null3"/>
                    <w:spacing w:before="105" w:after="105"/>
                    <w:ind w:left="420"/>
                    <w:jc w:val="both"/>
                  </w:pPr>
                  <w:r>
                    <w:rPr>
                      <w:rFonts w:ascii="宋体" w:hAnsi="宋体" w:cs="宋体" w:eastAsia="宋体"/>
                      <w:sz w:val="21"/>
                    </w:rPr>
                    <w:t>70%赔付。</w:t>
                  </w:r>
                </w:p>
                <w:p>
                  <w:pPr>
                    <w:pStyle w:val="null3"/>
                    <w:spacing w:before="105" w:after="105"/>
                    <w:ind w:left="420"/>
                    <w:jc w:val="left"/>
                  </w:pPr>
                  <w:r>
                    <w:rPr>
                      <w:rFonts w:ascii="宋体" w:hAnsi="宋体" w:cs="宋体" w:eastAsia="宋体"/>
                      <w:sz w:val="21"/>
                    </w:rPr>
                    <w:t>4.对个别漏保的“政府补贴人群”中的老年人，需要保险公司纳入当年保障范围。其保费于下个年度补缴。</w:t>
                  </w:r>
                </w:p>
              </w:tc>
            </w:tr>
          </w:tbl>
          <w:p>
            <w:pPr>
              <w:pStyle w:val="null3"/>
              <w:spacing w:before="105"/>
              <w:jc w:val="both"/>
            </w:pPr>
            <w:r>
              <w:rPr>
                <w:rFonts w:ascii="宋体" w:hAnsi="宋体" w:cs="宋体" w:eastAsia="宋体"/>
                <w:b/>
                <w:sz w:val="21"/>
                <w:shd w:fill="FFFFFF" w:val="clear"/>
              </w:rPr>
              <w:t>四、保险期限及责任期限</w:t>
            </w:r>
          </w:p>
          <w:p>
            <w:pPr>
              <w:pStyle w:val="null3"/>
              <w:spacing w:before="105"/>
              <w:ind w:firstLine="422"/>
              <w:jc w:val="both"/>
            </w:pPr>
            <w:r>
              <w:rPr>
                <w:rFonts w:ascii="宋体" w:hAnsi="宋体" w:cs="宋体" w:eastAsia="宋体"/>
                <w:b/>
                <w:sz w:val="21"/>
                <w:shd w:fill="FFFFFF" w:val="clear"/>
              </w:rPr>
              <w:t>保险期限：</w:t>
            </w:r>
            <w:r>
              <w:rPr>
                <w:rFonts w:ascii="宋体" w:hAnsi="宋体" w:cs="宋体" w:eastAsia="宋体"/>
                <w:b/>
                <w:sz w:val="21"/>
                <w:shd w:fill="FFFFFF" w:val="clear"/>
              </w:rPr>
              <w:t>一年</w:t>
            </w:r>
            <w:r>
              <w:rPr>
                <w:rFonts w:ascii="宋体" w:hAnsi="宋体" w:cs="宋体" w:eastAsia="宋体"/>
                <w:b/>
                <w:sz w:val="21"/>
                <w:shd w:fill="FFFFFF" w:val="clear"/>
              </w:rPr>
              <w:t>。</w:t>
            </w:r>
          </w:p>
          <w:p>
            <w:pPr>
              <w:pStyle w:val="null3"/>
              <w:spacing w:before="105"/>
              <w:ind w:firstLine="420"/>
              <w:jc w:val="both"/>
            </w:pPr>
            <w:r>
              <w:rPr>
                <w:rFonts w:ascii="宋体" w:hAnsi="宋体" w:cs="宋体" w:eastAsia="宋体"/>
                <w:sz w:val="21"/>
                <w:shd w:fill="FFFFFF" w:val="clear"/>
              </w:rPr>
              <w:t>在保险期限内被保险人发生保险责任事故，责任期限为</w:t>
            </w:r>
            <w:r>
              <w:rPr>
                <w:rFonts w:ascii="宋体" w:hAnsi="宋体" w:cs="宋体" w:eastAsia="宋体"/>
                <w:sz w:val="21"/>
                <w:shd w:fill="FFFFFF" w:val="clear"/>
              </w:rPr>
              <w:t>180天，责任期限超越保险期限理赔顺延。须具备在本</w:t>
            </w:r>
            <w:r>
              <w:rPr>
                <w:rFonts w:ascii="宋体" w:hAnsi="宋体" w:cs="宋体" w:eastAsia="宋体"/>
                <w:sz w:val="21"/>
                <w:shd w:fill="FFFFFF" w:val="clear"/>
              </w:rPr>
              <w:t>区（县）</w:t>
            </w:r>
            <w:r>
              <w:rPr>
                <w:rFonts w:ascii="宋体" w:hAnsi="宋体" w:cs="宋体" w:eastAsia="宋体"/>
                <w:sz w:val="21"/>
                <w:shd w:fill="FFFFFF" w:val="clear"/>
              </w:rPr>
              <w:t>开展户籍居民老年人意外伤害保险服务的工作网络。</w:t>
            </w:r>
          </w:p>
          <w:p>
            <w:pPr>
              <w:pStyle w:val="null3"/>
              <w:spacing w:before="105"/>
              <w:jc w:val="both"/>
            </w:pPr>
            <w:r>
              <w:rPr>
                <w:rFonts w:ascii="宋体" w:hAnsi="宋体" w:cs="宋体" w:eastAsia="宋体"/>
                <w:b/>
                <w:sz w:val="21"/>
                <w:shd w:fill="FFFFFF" w:val="clear"/>
              </w:rPr>
              <w:t>五、保险年度预算金额</w:t>
            </w:r>
          </w:p>
          <w:p>
            <w:pPr>
              <w:pStyle w:val="null3"/>
              <w:ind w:firstLine="420"/>
              <w:jc w:val="both"/>
            </w:pPr>
            <w:r>
              <w:rPr>
                <w:rFonts w:ascii="宋体" w:hAnsi="宋体" w:cs="宋体" w:eastAsia="宋体"/>
                <w:sz w:val="21"/>
                <w:shd w:fill="FFFFFF" w:val="clear"/>
              </w:rPr>
              <w:t>“政府补贴人群”预计</w:t>
            </w:r>
            <w:r>
              <w:rPr>
                <w:rFonts w:ascii="宋体" w:hAnsi="宋体" w:cs="宋体" w:eastAsia="宋体"/>
                <w:sz w:val="21"/>
                <w:shd w:fill="FFFFFF" w:val="clear"/>
              </w:rPr>
              <w:t>2.9384</w:t>
            </w:r>
            <w:r>
              <w:rPr>
                <w:rFonts w:ascii="宋体" w:hAnsi="宋体" w:cs="宋体" w:eastAsia="宋体"/>
                <w:sz w:val="21"/>
                <w:shd w:fill="FFFFFF" w:val="clear"/>
              </w:rPr>
              <w:t>万人，保险费标准为每人</w:t>
            </w:r>
            <w:r>
              <w:rPr>
                <w:rFonts w:ascii="宋体" w:hAnsi="宋体" w:cs="宋体" w:eastAsia="宋体"/>
                <w:sz w:val="21"/>
                <w:shd w:fill="FFFFFF" w:val="clear"/>
              </w:rPr>
              <w:t>20元/份/年，保险总费用</w:t>
            </w:r>
            <w:r>
              <w:rPr>
                <w:rFonts w:ascii="宋体" w:hAnsi="宋体" w:cs="宋体" w:eastAsia="宋体"/>
                <w:sz w:val="21"/>
                <w:shd w:fill="FFFFFF" w:val="clear"/>
              </w:rPr>
              <w:t xml:space="preserve"> </w:t>
            </w:r>
            <w:r>
              <w:rPr>
                <w:rFonts w:ascii="宋体" w:hAnsi="宋体" w:cs="宋体" w:eastAsia="宋体"/>
                <w:sz w:val="21"/>
                <w:shd w:fill="FFFFFF" w:val="clear"/>
              </w:rPr>
              <w:t>58.7680</w:t>
            </w:r>
            <w:r>
              <w:rPr>
                <w:rFonts w:ascii="宋体" w:hAnsi="宋体" w:cs="宋体" w:eastAsia="宋体"/>
                <w:sz w:val="21"/>
                <w:shd w:fill="FFFFFF" w:val="clear"/>
              </w:rPr>
              <w:t>万元。最终以实际参保人数为准。</w:t>
            </w:r>
          </w:p>
          <w:p>
            <w:pPr>
              <w:pStyle w:val="null3"/>
              <w:spacing w:before="105"/>
              <w:jc w:val="both"/>
            </w:pPr>
            <w:r>
              <w:rPr>
                <w:rFonts w:ascii="宋体" w:hAnsi="宋体" w:cs="宋体" w:eastAsia="宋体"/>
                <w:b/>
                <w:sz w:val="21"/>
                <w:shd w:fill="FFFFFF" w:val="clear"/>
              </w:rPr>
              <w:t>六、服务要求</w:t>
            </w:r>
          </w:p>
          <w:p>
            <w:pPr>
              <w:pStyle w:val="null3"/>
              <w:spacing w:before="105"/>
              <w:ind w:firstLine="420"/>
              <w:jc w:val="both"/>
            </w:pPr>
            <w:r>
              <w:rPr>
                <w:rFonts w:ascii="宋体" w:hAnsi="宋体" w:cs="宋体" w:eastAsia="宋体"/>
                <w:sz w:val="21"/>
                <w:shd w:fill="FFFFFF" w:val="clear"/>
              </w:rPr>
              <w:t>1、</w:t>
            </w:r>
            <w:r>
              <w:rPr>
                <w:rFonts w:ascii="宋体" w:hAnsi="宋体" w:cs="宋体" w:eastAsia="宋体"/>
                <w:sz w:val="21"/>
                <w:shd w:fill="FFFFFF" w:val="clear"/>
              </w:rPr>
              <w:t>成交（中标）</w:t>
            </w:r>
            <w:r>
              <w:rPr>
                <w:rFonts w:ascii="宋体" w:hAnsi="宋体" w:cs="宋体" w:eastAsia="宋体"/>
                <w:sz w:val="21"/>
                <w:shd w:fill="FFFFFF" w:val="clear"/>
              </w:rPr>
              <w:t>服务商收到申请人的保险金给付申请书及相关证明和资料后，将及时作出核定。经核定后确定属于保险责任的，在与申请人达成给付保险金协议后十日内，履行给付保险金的义务；不属于保险责任的，将自作出核定之日起三日内向申请人发出拒绝给付保证金通知书，并说明理由。</w:t>
            </w:r>
          </w:p>
          <w:p>
            <w:pPr>
              <w:pStyle w:val="null3"/>
              <w:spacing w:before="105"/>
              <w:ind w:firstLine="420"/>
              <w:jc w:val="both"/>
            </w:pPr>
            <w:r>
              <w:rPr>
                <w:rFonts w:ascii="宋体" w:hAnsi="宋体" w:cs="宋体" w:eastAsia="宋体"/>
                <w:sz w:val="21"/>
                <w:shd w:fill="FFFFFF" w:val="clear"/>
              </w:rPr>
              <w:t>2、</w:t>
            </w:r>
            <w:r>
              <w:rPr>
                <w:rFonts w:ascii="宋体" w:hAnsi="宋体" w:cs="宋体" w:eastAsia="宋体"/>
                <w:sz w:val="21"/>
                <w:shd w:fill="FFFFFF" w:val="clear"/>
              </w:rPr>
              <w:t>成交（中标）</w:t>
            </w:r>
            <w:r>
              <w:rPr>
                <w:rFonts w:ascii="宋体" w:hAnsi="宋体" w:cs="宋体" w:eastAsia="宋体"/>
                <w:sz w:val="21"/>
                <w:shd w:fill="FFFFFF" w:val="clear"/>
              </w:rPr>
              <w:t>服务商宣传到位，利用多种方式宣传发动，让全社会充分认识老年人意外伤害保险是经济社会发展和人口老龄化发展的客观要求，重点宣传参保内容和参保程序使老年人意外伤害保险方案家喻户晓。</w:t>
            </w:r>
          </w:p>
          <w:p>
            <w:pPr>
              <w:pStyle w:val="null3"/>
              <w:spacing w:before="105"/>
              <w:ind w:firstLine="420"/>
              <w:jc w:val="both"/>
            </w:pPr>
            <w:r>
              <w:rPr>
                <w:rFonts w:ascii="宋体" w:hAnsi="宋体" w:cs="宋体" w:eastAsia="宋体"/>
                <w:sz w:val="21"/>
                <w:shd w:fill="FFFFFF" w:val="clear"/>
              </w:rPr>
              <w:t>3、有合规经营机构，协议签订后在24小时内出据保险单。全天24小时接受被保险人或居民咨询和索赔需求，出险后</w:t>
            </w:r>
            <w:r>
              <w:rPr>
                <w:rFonts w:ascii="宋体" w:hAnsi="宋体" w:cs="宋体" w:eastAsia="宋体"/>
                <w:sz w:val="21"/>
                <w:shd w:fill="FFFFFF" w:val="clear"/>
              </w:rPr>
              <w:t>3</w:t>
            </w:r>
            <w:r>
              <w:rPr>
                <w:rFonts w:ascii="宋体" w:hAnsi="宋体" w:cs="宋体" w:eastAsia="宋体"/>
                <w:sz w:val="21"/>
                <w:shd w:fill="FFFFFF" w:val="clear"/>
              </w:rPr>
              <w:t>小时内上门服务，</w:t>
            </w:r>
            <w:r>
              <w:rPr>
                <w:rFonts w:ascii="宋体" w:hAnsi="宋体" w:cs="宋体" w:eastAsia="宋体"/>
                <w:sz w:val="21"/>
                <w:shd w:fill="FFFFFF" w:val="clear"/>
              </w:rPr>
              <w:t>5个工作日内进行理赔处理结案。</w:t>
            </w:r>
          </w:p>
          <w:p>
            <w:pPr>
              <w:pStyle w:val="null3"/>
              <w:spacing w:before="105"/>
              <w:ind w:firstLine="420"/>
              <w:jc w:val="both"/>
            </w:pPr>
            <w:r>
              <w:rPr>
                <w:rFonts w:ascii="宋体" w:hAnsi="宋体" w:cs="宋体" w:eastAsia="宋体"/>
                <w:sz w:val="21"/>
                <w:shd w:fill="FFFFFF" w:val="clear"/>
              </w:rPr>
              <w:t>4、加强沟通协调。供应商按照公司职责，加强协作配合，进一步分工合理，职责明确，协商沟通，规范有序的工作机制，确保取得实效，使老年人得到实惠。</w:t>
            </w:r>
          </w:p>
          <w:p>
            <w:pPr>
              <w:pStyle w:val="null3"/>
              <w:spacing w:before="105"/>
              <w:ind w:firstLine="420"/>
              <w:jc w:val="both"/>
            </w:pPr>
            <w:r>
              <w:rPr>
                <w:rFonts w:ascii="宋体" w:hAnsi="宋体" w:cs="宋体" w:eastAsia="宋体"/>
                <w:sz w:val="21"/>
                <w:shd w:fill="FFFFFF" w:val="clear"/>
              </w:rPr>
              <w:t>单位负责人为同一人或者存在直接控股、管理关系的不同供应商，不得参加同一合同项下的采购活动；</w:t>
            </w:r>
          </w:p>
          <w:p>
            <w:pPr>
              <w:pStyle w:val="null3"/>
              <w:jc w:val="both"/>
            </w:pPr>
            <w:r>
              <w:rPr>
                <w:rFonts w:ascii="宋体" w:hAnsi="宋体" w:cs="宋体" w:eastAsia="宋体"/>
                <w:sz w:val="21"/>
                <w:shd w:fill="FFFFFF" w:val="clear"/>
              </w:rPr>
              <w:t xml:space="preserve">   本项目不接受联合体磋商</w:t>
            </w:r>
          </w:p>
        </w:tc>
      </w:tr>
    </w:tbl>
    <w:p>
      <w:pPr>
        <w:pStyle w:val="null3"/>
        <w:outlineLvl w:val="2"/>
      </w:pPr>
      <w:r>
        <w:rPr>
          <w:b/>
          <w:sz w:val="28"/>
        </w:rPr>
        <w:t>3.2.3人员配置要求</w:t>
      </w:r>
    </w:p>
    <w:p>
      <w:pPr>
        <w:pStyle w:val="null3"/>
      </w:pPr>
      <w:r>
        <w:rPr/>
        <w:t>采购包1：</w:t>
      </w:r>
    </w:p>
    <w:p>
      <w:pPr>
        <w:pStyle w:val="null3"/>
      </w:pPr>
      <w:r>
        <w:rPr/>
        <w:t>见磋商文件要求</w:t>
      </w:r>
    </w:p>
    <w:p>
      <w:pPr>
        <w:pStyle w:val="null3"/>
        <w:outlineLvl w:val="2"/>
      </w:pPr>
      <w:r>
        <w:rPr>
          <w:b/>
          <w:sz w:val="28"/>
        </w:rPr>
        <w:t>3.2.4设施设备要求</w:t>
      </w:r>
    </w:p>
    <w:p>
      <w:pPr>
        <w:pStyle w:val="null3"/>
      </w:pPr>
      <w:r>
        <w:rPr/>
        <w:t>采购包1：</w:t>
      </w:r>
    </w:p>
    <w:p>
      <w:pPr>
        <w:pStyle w:val="null3"/>
      </w:pPr>
      <w:r>
        <w:rPr/>
        <w:t>见磋商文件要求</w:t>
      </w:r>
    </w:p>
    <w:p>
      <w:pPr>
        <w:pStyle w:val="null3"/>
        <w:outlineLvl w:val="2"/>
      </w:pPr>
      <w:r>
        <w:rPr>
          <w:b/>
          <w:sz w:val="28"/>
        </w:rPr>
        <w:t>3.2.5其他要求</w:t>
      </w:r>
    </w:p>
    <w:p>
      <w:pPr>
        <w:pStyle w:val="null3"/>
      </w:pPr>
      <w:r>
        <w:rPr/>
        <w:t>采购包1：</w:t>
      </w:r>
    </w:p>
    <w:p>
      <w:pPr>
        <w:pStyle w:val="null3"/>
      </w:pPr>
      <w:r>
        <w:rPr/>
        <w:t>见磋商文件要求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自合同签订之日起一年（具体服务起止日期可随合同签订时间相应顺延）</w:t>
      </w:r>
    </w:p>
    <w:p>
      <w:pPr>
        <w:pStyle w:val="null3"/>
        <w:outlineLvl w:val="3"/>
      </w:pPr>
      <w:r>
        <w:rPr>
          <w:b/>
          <w:sz w:val="24"/>
        </w:rPr>
        <w:t>3.3.2服务地点</w:t>
      </w:r>
    </w:p>
    <w:p>
      <w:pPr>
        <w:pStyle w:val="null3"/>
      </w:pPr>
      <w:r>
        <w:rPr/>
        <w:t>采购包1：</w:t>
      </w:r>
    </w:p>
    <w:p>
      <w:pPr>
        <w:pStyle w:val="null3"/>
      </w:pPr>
      <w:r>
        <w:rPr/>
        <w:t>甲方指定地点</w:t>
      </w:r>
    </w:p>
    <w:p>
      <w:pPr>
        <w:pStyle w:val="null3"/>
        <w:outlineLvl w:val="3"/>
      </w:pPr>
      <w:r>
        <w:rPr>
          <w:b/>
          <w:sz w:val="24"/>
        </w:rPr>
        <w:t>3.3.3考核（验收）标准和方法</w:t>
      </w:r>
    </w:p>
    <w:p>
      <w:pPr>
        <w:pStyle w:val="null3"/>
      </w:pPr>
      <w:r>
        <w:rPr/>
        <w:t>采购包1：</w:t>
      </w:r>
    </w:p>
    <w:p>
      <w:pPr>
        <w:pStyle w:val="null3"/>
      </w:pPr>
      <w:r>
        <w:rPr/>
        <w:t>无</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按中标保险公司所承诺的费率及实际保险费结算，合同签订后一月内支付。乙方在接受付款前开具等额发票给甲方</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1．乙方在甲方付款前，应按当期实际付款数额向甲方提供合格的发票。 2．乙方未提供发票或提供发票不合格的，甲方有权推迟支付应付款项直至乙方提供合格发票，且不承担任何违约责任，同时乙方的各项义务仍应按合同约定履行。 首先通过双方协商解决，协商解决不成，则通过以下途径之一解决纠纷： □ 提请仲裁 □ 向人民法院提起诉讼</w:t>
      </w:r>
    </w:p>
    <w:p>
      <w:pPr>
        <w:pStyle w:val="null3"/>
        <w:outlineLvl w:val="2"/>
      </w:pPr>
      <w:r>
        <w:rPr>
          <w:b/>
          <w:sz w:val="28"/>
        </w:rPr>
        <w:t>3.4其他要求</w:t>
      </w:r>
    </w:p>
    <w:p>
      <w:pPr>
        <w:pStyle w:val="null3"/>
      </w:pPr>
      <w:r>
        <w:rPr/>
        <w:t>为顺利推进政府采购电子化交易平台试点应用工作，供应商需要在线提交所有通过电子化交易平台实施的政府采购项目的竞争性磋商响应文件。中标通知书发出后，中标供应商须向采购人提交竞争性磋商响应文件纸质版一正一副（纸质版响应文件与电子版响应文件保持一致）。</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其他说明</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具备有效的《经营保险业务许可证》</w:t>
            </w:r>
          </w:p>
        </w:tc>
        <w:tc>
          <w:tcPr>
            <w:tcW w:type="dxa" w:w="3322"/>
          </w:tcPr>
          <w:p>
            <w:pPr>
              <w:pStyle w:val="null3"/>
            </w:pPr>
            <w:r>
              <w:rPr/>
              <w:t>具备有效的《经营保险业务许可证》：供应商需在项目电子化交易系统中提供相关证明文件并进行电子签章</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提供2022年度或2023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p>
        </w:tc>
        <w:tc>
          <w:tcPr>
            <w:tcW w:type="dxa" w:w="3322"/>
          </w:tcPr>
          <w:p>
            <w:pPr>
              <w:pStyle w:val="null3"/>
            </w:pPr>
            <w:r>
              <w:rPr/>
              <w:t>提供2022年度或2023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tc>
        <w:tc>
          <w:tcPr>
            <w:tcW w:type="dxa" w:w="1661"/>
          </w:tcPr>
          <w:p>
            <w:pPr>
              <w:pStyle w:val="null3"/>
            </w:pPr>
            <w:r>
              <w:rPr/>
              <w:t>资格证明文件 响应函</w:t>
            </w:r>
          </w:p>
        </w:tc>
      </w:tr>
      <w:tr>
        <w:tc>
          <w:tcPr>
            <w:tcW w:type="dxa" w:w="831"/>
          </w:tcPr>
          <w:p>
            <w:pPr>
              <w:pStyle w:val="null3"/>
            </w:pPr>
            <w:r>
              <w:rPr/>
              <w:t>4</w:t>
            </w:r>
          </w:p>
        </w:tc>
        <w:tc>
          <w:tcPr>
            <w:tcW w:type="dxa" w:w="2492"/>
          </w:tcPr>
          <w:p>
            <w:pPr>
              <w:pStyle w:val="null3"/>
            </w:pPr>
            <w:r>
              <w:rPr/>
              <w:t>提供递交响应文件截止之日前一年内任意一个月的依法缴纳税收的相关凭据（时间以税款所属日期为准），依法免税或无须缴纳税收的供应商，应提供相应证明文件</w:t>
            </w:r>
          </w:p>
        </w:tc>
        <w:tc>
          <w:tcPr>
            <w:tcW w:type="dxa" w:w="3322"/>
          </w:tcPr>
          <w:p>
            <w:pPr>
              <w:pStyle w:val="null3"/>
            </w:pPr>
            <w:r>
              <w:rPr/>
              <w:t>提供递交响应文件截止之日前一年内任意一个月的依法缴纳税收的相关凭据（时间以税款所属日期为准），依法免税或无须缴纳税收的供应商，应提供相应证明文件：供应商需在项目电子化交易系统中提供相关证明文件并进行电子签章</w:t>
            </w:r>
          </w:p>
        </w:tc>
        <w:tc>
          <w:tcPr>
            <w:tcW w:type="dxa" w:w="1661"/>
          </w:tcPr>
          <w:p>
            <w:pPr>
              <w:pStyle w:val="null3"/>
            </w:pPr>
            <w:r>
              <w:rPr/>
              <w:t>资格证明文件 响应函</w:t>
            </w:r>
          </w:p>
        </w:tc>
      </w:tr>
      <w:tr>
        <w:tc>
          <w:tcPr>
            <w:tcW w:type="dxa" w:w="831"/>
          </w:tcPr>
          <w:p>
            <w:pPr>
              <w:pStyle w:val="null3"/>
            </w:pPr>
            <w:r>
              <w:rPr/>
              <w:t>5</w:t>
            </w:r>
          </w:p>
        </w:tc>
        <w:tc>
          <w:tcPr>
            <w:tcW w:type="dxa" w:w="2492"/>
          </w:tcPr>
          <w:p>
            <w:pPr>
              <w:pStyle w:val="null3"/>
            </w:pPr>
            <w:r>
              <w:rPr/>
              <w:t>提供递交响应文件截止之日前一年内任意一个月的社会保障资金缴纳证明，依法不需要缴纳社会保障资金的供应商应提供相关文件证明</w:t>
            </w:r>
          </w:p>
        </w:tc>
        <w:tc>
          <w:tcPr>
            <w:tcW w:type="dxa" w:w="3322"/>
          </w:tcPr>
          <w:p>
            <w:pPr>
              <w:pStyle w:val="null3"/>
            </w:pPr>
            <w:r>
              <w:rPr/>
              <w:t>提供递交响应文件截止之日前一年内任意一个月的社会保障资金缴纳证明，依法不需要缴纳社会保障资金的供应商应提供相关文件证明：供应商需在项目电子化交易系统中提供相关证明文件并进行电子签章</w:t>
            </w:r>
          </w:p>
        </w:tc>
        <w:tc>
          <w:tcPr>
            <w:tcW w:type="dxa" w:w="1661"/>
          </w:tcPr>
          <w:p>
            <w:pPr>
              <w:pStyle w:val="null3"/>
            </w:pPr>
            <w:r>
              <w:rPr/>
              <w:t>资格证明文件 响应函</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参加政府采购活动前3年内在经营活动中没有重大违法记录的书面声明：供应商需在项目电子化交易系统中提供书面声明并进行电子签章</w:t>
            </w:r>
          </w:p>
        </w:tc>
        <w:tc>
          <w:tcPr>
            <w:tcW w:type="dxa" w:w="1661"/>
          </w:tcPr>
          <w:p>
            <w:pPr>
              <w:pStyle w:val="null3"/>
            </w:pPr>
            <w:r>
              <w:rPr/>
              <w:t>资格证明文件 响应函</w:t>
            </w:r>
          </w:p>
        </w:tc>
      </w:tr>
      <w:tr>
        <w:tc>
          <w:tcPr>
            <w:tcW w:type="dxa" w:w="831"/>
          </w:tcPr>
          <w:p>
            <w:pPr>
              <w:pStyle w:val="null3"/>
            </w:pPr>
            <w:r>
              <w:rPr/>
              <w:t>7</w:t>
            </w:r>
          </w:p>
        </w:tc>
        <w:tc>
          <w:tcPr>
            <w:tcW w:type="dxa" w:w="2492"/>
          </w:tcPr>
          <w:p>
            <w:pPr>
              <w:pStyle w:val="null3"/>
            </w:pPr>
            <w:r>
              <w:rPr/>
              <w:t>具备履行合同所必需的设备和专业技术能力的证明材料</w:t>
            </w:r>
          </w:p>
        </w:tc>
        <w:tc>
          <w:tcPr>
            <w:tcW w:type="dxa" w:w="3322"/>
          </w:tcPr>
          <w:p>
            <w:pPr>
              <w:pStyle w:val="null3"/>
            </w:pPr>
            <w:r>
              <w:rPr/>
              <w:t>具备履行合同所必需的设备和专业技术能力的证明材料：供应商需在项目电子化交易系统中提供承诺并进行电子签章</w:t>
            </w:r>
          </w:p>
        </w:tc>
        <w:tc>
          <w:tcPr>
            <w:tcW w:type="dxa" w:w="1661"/>
          </w:tcPr>
          <w:p>
            <w:pPr>
              <w:pStyle w:val="null3"/>
            </w:pPr>
            <w:r>
              <w:rPr/>
              <w:t>资格证明文件 响应函</w:t>
            </w:r>
          </w:p>
        </w:tc>
      </w:tr>
      <w:tr>
        <w:tc>
          <w:tcPr>
            <w:tcW w:type="dxa" w:w="831"/>
          </w:tcPr>
          <w:p>
            <w:pPr>
              <w:pStyle w:val="null3"/>
            </w:pPr>
            <w:r>
              <w:rPr/>
              <w:t>8</w:t>
            </w:r>
          </w:p>
        </w:tc>
        <w:tc>
          <w:tcPr>
            <w:tcW w:type="dxa" w:w="2492"/>
          </w:tcPr>
          <w:p>
            <w:pPr>
              <w:pStyle w:val="null3"/>
            </w:pPr>
            <w:r>
              <w:rPr/>
              <w:t>供应商未被列入“中国执行信息公开网”失信被执行人名单，未被列入“信用中国”网站、重大税收违法失信主体，未被列入“中国政府采购网”政府采购严重违法失信行为记录名单</w:t>
            </w:r>
          </w:p>
        </w:tc>
        <w:tc>
          <w:tcPr>
            <w:tcW w:type="dxa" w:w="3322"/>
          </w:tcPr>
          <w:p>
            <w:pPr>
              <w:pStyle w:val="null3"/>
            </w:pPr>
            <w:r>
              <w:rPr/>
              <w:t>供应商未被列入“中国执行信息公开网”失信被执行人名单，未被列入“信用中国”网站、重大税收违法失信主体，未被列入“中国政府采购网”政府采购严重违法失信行为记录名单：以评标现场查询结果为准</w:t>
            </w:r>
          </w:p>
        </w:tc>
        <w:tc>
          <w:tcPr>
            <w:tcW w:type="dxa" w:w="1661"/>
          </w:tcPr>
          <w:p>
            <w:pPr>
              <w:pStyle w:val="null3"/>
            </w:pPr>
            <w:r>
              <w:rPr/>
              <w:t>资格证明文件 其他说明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响应函</w:t>
            </w:r>
          </w:p>
        </w:tc>
      </w:tr>
      <w:tr>
        <w:tc>
          <w:tcPr>
            <w:tcW w:type="dxa" w:w="831"/>
          </w:tcPr>
          <w:p>
            <w:pPr>
              <w:pStyle w:val="null3"/>
            </w:pPr>
            <w:r>
              <w:rPr/>
              <w:t>2</w:t>
            </w:r>
          </w:p>
        </w:tc>
        <w:tc>
          <w:tcPr>
            <w:tcW w:type="dxa" w:w="2492"/>
          </w:tcPr>
          <w:p>
            <w:pPr>
              <w:pStyle w:val="null3"/>
            </w:pPr>
            <w:r>
              <w:rPr/>
              <w:t>响应文件签字、盖章</w:t>
            </w:r>
          </w:p>
        </w:tc>
        <w:tc>
          <w:tcPr>
            <w:tcW w:type="dxa" w:w="3322"/>
          </w:tcPr>
          <w:p>
            <w:pPr>
              <w:pStyle w:val="null3"/>
            </w:pPr>
            <w:r>
              <w:rPr/>
              <w:t>有法定代表人（单位负责人）或其委托代理人签字或盖章并加盖单位公章。由委托代理人签字或盖章，出具有效的授权委托书及被授权人身份证明材料。由法定代表人（单位负责人）签字或盖章的，应附法定代表人（单位负责人）身份证明。 签章均符合采购文件要求，且无遗漏。</w:t>
            </w:r>
          </w:p>
        </w:tc>
        <w:tc>
          <w:tcPr>
            <w:tcW w:type="dxa" w:w="1661"/>
          </w:tcPr>
          <w:p>
            <w:pPr>
              <w:pStyle w:val="null3"/>
            </w:pPr>
            <w:r>
              <w:rPr/>
              <w:t>响应文件封面 资格证明文件 商务、合同条款偏离表 中小企业声明函 残疾人福利性单位声明函 业绩 服务方案 标的清单 报价表 其他说明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只能有一个有效报价，不得提交选择性报价，且报价不超过采购预算金额或最高限价。同时报价应响应项目需求，不响应的按无效投标处理。</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交首次响应文件的截止之日起不少于90天</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保险期限</w:t>
            </w:r>
          </w:p>
        </w:tc>
        <w:tc>
          <w:tcPr>
            <w:tcW w:type="dxa" w:w="3322"/>
          </w:tcPr>
          <w:p>
            <w:pPr>
              <w:pStyle w:val="null3"/>
            </w:pPr>
            <w:r>
              <w:rPr/>
              <w:t>符合磋商文件的要求</w:t>
            </w:r>
          </w:p>
        </w:tc>
        <w:tc>
          <w:tcPr>
            <w:tcW w:type="dxa" w:w="1661"/>
          </w:tcPr>
          <w:p>
            <w:pPr>
              <w:pStyle w:val="null3"/>
            </w:pPr>
            <w:r>
              <w:rPr/>
              <w:t>商务、合同条款偏离表 服务方案 标的清单 其他说明 报价表 响应函</w:t>
            </w:r>
          </w:p>
        </w:tc>
      </w:tr>
      <w:tr>
        <w:tc>
          <w:tcPr>
            <w:tcW w:type="dxa" w:w="831"/>
          </w:tcPr>
          <w:p>
            <w:pPr>
              <w:pStyle w:val="null3"/>
            </w:pPr>
            <w:r>
              <w:rPr/>
              <w:t>6</w:t>
            </w:r>
          </w:p>
        </w:tc>
        <w:tc>
          <w:tcPr>
            <w:tcW w:type="dxa" w:w="2492"/>
          </w:tcPr>
          <w:p>
            <w:pPr>
              <w:pStyle w:val="null3"/>
            </w:pPr>
            <w:r>
              <w:rPr/>
              <w:t>其他无效磋商的情形</w:t>
            </w:r>
          </w:p>
        </w:tc>
        <w:tc>
          <w:tcPr>
            <w:tcW w:type="dxa" w:w="3322"/>
          </w:tcPr>
          <w:p>
            <w:pPr>
              <w:pStyle w:val="null3"/>
            </w:pPr>
            <w:r>
              <w:rPr/>
              <w:t>没有出现法律法规或磋商文件明确规定的其他被视为“无效磋商”的情形及未实质性响应磋商文件的情况</w:t>
            </w:r>
          </w:p>
        </w:tc>
        <w:tc>
          <w:tcPr>
            <w:tcW w:type="dxa" w:w="1661"/>
          </w:tcPr>
          <w:p>
            <w:pPr>
              <w:pStyle w:val="null3"/>
            </w:pPr>
            <w:r>
              <w:rPr/>
              <w:t>响应文件封面 资格证明文件 商务、合同条款偏离表 中小企业声明函 残疾人福利性单位声明函 业绩 服务方案 标的清单 报价表 其他说明 响应函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组织实施方案</w:t>
            </w:r>
          </w:p>
        </w:tc>
        <w:tc>
          <w:tcPr>
            <w:tcW w:type="dxa" w:w="2492"/>
          </w:tcPr>
          <w:p>
            <w:pPr>
              <w:pStyle w:val="null3"/>
            </w:pPr>
            <w:r>
              <w:rPr/>
              <w:t>供应商项目组织实施方案的科学性、合理性、规范性和可操作性，包括组织机构、实施场所、宣传方案、工作时间进度表、工作程序和步骤、管理和协调方法、关键步骤的思路和要点等。科学、合理、有效，可行性强的计(5-10]分；基本合理、内容较完善的计[0-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业绩</w:t>
            </w:r>
          </w:p>
          <w:p>
            <w:pPr>
              <w:pStyle w:val="null3"/>
            </w:pPr>
            <w:r>
              <w:rPr/>
              <w:t>商务、合同条款偏离表</w:t>
            </w:r>
          </w:p>
        </w:tc>
      </w:tr>
      <w:tr>
        <w:tc>
          <w:tcPr>
            <w:tcW w:type="dxa" w:w="831"/>
            <w:vMerge/>
          </w:tcPr>
          <w:p/>
        </w:tc>
        <w:tc>
          <w:tcPr>
            <w:tcW w:type="dxa" w:w="1661"/>
          </w:tcPr>
          <w:p>
            <w:pPr>
              <w:pStyle w:val="null3"/>
            </w:pPr>
            <w:r>
              <w:rPr/>
              <w:t>培训及信息服务</w:t>
            </w:r>
          </w:p>
        </w:tc>
        <w:tc>
          <w:tcPr>
            <w:tcW w:type="dxa" w:w="2492"/>
          </w:tcPr>
          <w:p>
            <w:pPr>
              <w:pStyle w:val="null3"/>
            </w:pPr>
            <w:r>
              <w:rPr/>
              <w:t>供应商应对采购人、投保人（被保险人）提供合理的、覆盖面广的保险专业培训，确保采购人、投保人（被保险人）充分理解保险、理赔流程等，并定期提供项目承保报告，予以评分。具体、合理、可行，有前瞻性计(3-5]分；基本合理、可行计[0-3]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商务、合同条款偏离表</w:t>
            </w:r>
          </w:p>
          <w:p>
            <w:pPr>
              <w:pStyle w:val="null3"/>
            </w:pPr>
            <w:r>
              <w:rPr/>
              <w:t>服务方案</w:t>
            </w:r>
          </w:p>
          <w:p>
            <w:pPr>
              <w:pStyle w:val="null3"/>
            </w:pPr>
            <w:r>
              <w:rPr/>
              <w:t>业绩</w:t>
            </w:r>
          </w:p>
        </w:tc>
      </w:tr>
      <w:tr>
        <w:tc>
          <w:tcPr>
            <w:tcW w:type="dxa" w:w="831"/>
            <w:vMerge/>
          </w:tcPr>
          <w:p/>
        </w:tc>
        <w:tc>
          <w:tcPr>
            <w:tcW w:type="dxa" w:w="1661"/>
          </w:tcPr>
          <w:p>
            <w:pPr>
              <w:pStyle w:val="null3"/>
            </w:pPr>
            <w:r>
              <w:rPr/>
              <w:t>非“政府”补贴人群推广承诺及方案</w:t>
            </w:r>
          </w:p>
        </w:tc>
        <w:tc>
          <w:tcPr>
            <w:tcW w:type="dxa" w:w="2492"/>
          </w:tcPr>
          <w:p>
            <w:pPr>
              <w:pStyle w:val="null3"/>
            </w:pPr>
            <w:r>
              <w:rPr/>
              <w:t>针对“非政府补贴人群”制定具体保障方案和推广方案，制定工作目标，并承诺购买保险人数达到常住老年人口总数的比率等。根据方案详细程度、预期效果、可行性等进行评价。科学、合理、有效，可行性强的计(3-5]分；基本合理、内容较完善的计[0-3]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商务、合同条款偏离表</w:t>
            </w:r>
          </w:p>
          <w:p>
            <w:pPr>
              <w:pStyle w:val="null3"/>
            </w:pPr>
            <w:r>
              <w:rPr/>
              <w:t>服务方案</w:t>
            </w:r>
          </w:p>
          <w:p>
            <w:pPr>
              <w:pStyle w:val="null3"/>
            </w:pPr>
            <w:r>
              <w:rPr/>
              <w:t>业绩</w:t>
            </w:r>
          </w:p>
        </w:tc>
      </w:tr>
      <w:tr>
        <w:tc>
          <w:tcPr>
            <w:tcW w:type="dxa" w:w="831"/>
            <w:vMerge/>
          </w:tcPr>
          <w:p/>
        </w:tc>
        <w:tc>
          <w:tcPr>
            <w:tcW w:type="dxa" w:w="1661"/>
          </w:tcPr>
          <w:p>
            <w:pPr>
              <w:pStyle w:val="null3"/>
            </w:pPr>
            <w:r>
              <w:rPr/>
              <w:t>理赔服务</w:t>
            </w:r>
          </w:p>
        </w:tc>
        <w:tc>
          <w:tcPr>
            <w:tcW w:type="dxa" w:w="2492"/>
          </w:tcPr>
          <w:p>
            <w:pPr>
              <w:pStyle w:val="null3"/>
            </w:pPr>
            <w:r>
              <w:rPr/>
              <w:t>供应商提供上门和其他便捷理赔服务的，根据供应商描述上门及其他便捷理赔服务方案，予以评分。科学、合理、有效，可行性强的计(5-10]分；基本合理、内容较完善的计[0-5]分。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商务、合同条款偏离表</w:t>
            </w:r>
          </w:p>
          <w:p>
            <w:pPr>
              <w:pStyle w:val="null3"/>
            </w:pPr>
            <w:r>
              <w:rPr/>
              <w:t>服务方案</w:t>
            </w:r>
          </w:p>
          <w:p>
            <w:pPr>
              <w:pStyle w:val="null3"/>
            </w:pPr>
            <w:r>
              <w:rPr/>
              <w:t>业绩</w:t>
            </w:r>
          </w:p>
        </w:tc>
      </w:tr>
      <w:tr>
        <w:tc>
          <w:tcPr>
            <w:tcW w:type="dxa" w:w="831"/>
            <w:vMerge/>
          </w:tcPr>
          <w:p/>
        </w:tc>
        <w:tc>
          <w:tcPr>
            <w:tcW w:type="dxa" w:w="1661"/>
          </w:tcPr>
          <w:p>
            <w:pPr>
              <w:pStyle w:val="null3"/>
            </w:pPr>
            <w:r>
              <w:rPr/>
              <w:t>保证项目实施的人力资源安排</w:t>
            </w:r>
          </w:p>
        </w:tc>
        <w:tc>
          <w:tcPr>
            <w:tcW w:type="dxa" w:w="2492"/>
          </w:tcPr>
          <w:p>
            <w:pPr>
              <w:pStyle w:val="null3"/>
            </w:pPr>
            <w:r>
              <w:rPr/>
              <w:t>1、搭配合理、满足项目需求，总体实力较强得（7-10]分；2、搭配基本合理，可满足项目需求得（4-7]分；3、搭配不合理，难以满足项目需求得[0-4]分。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商务、合同条款偏离表</w:t>
            </w:r>
          </w:p>
          <w:p>
            <w:pPr>
              <w:pStyle w:val="null3"/>
            </w:pPr>
            <w:r>
              <w:rPr/>
              <w:t>服务方案</w:t>
            </w:r>
          </w:p>
          <w:p>
            <w:pPr>
              <w:pStyle w:val="null3"/>
            </w:pPr>
            <w:r>
              <w:rPr/>
              <w:t>业绩</w:t>
            </w:r>
          </w:p>
        </w:tc>
      </w:tr>
      <w:tr>
        <w:tc>
          <w:tcPr>
            <w:tcW w:type="dxa" w:w="831"/>
            <w:vMerge/>
          </w:tcPr>
          <w:p/>
        </w:tc>
        <w:tc>
          <w:tcPr>
            <w:tcW w:type="dxa" w:w="1661"/>
          </w:tcPr>
          <w:p>
            <w:pPr>
              <w:pStyle w:val="null3"/>
            </w:pPr>
            <w:r>
              <w:rPr/>
              <w:t>保险服务专员、日常服务回访机制</w:t>
            </w:r>
          </w:p>
        </w:tc>
        <w:tc>
          <w:tcPr>
            <w:tcW w:type="dxa" w:w="2492"/>
          </w:tcPr>
          <w:p>
            <w:pPr>
              <w:pStyle w:val="null3"/>
            </w:pPr>
            <w:r>
              <w:rPr/>
              <w:t>供应商针对本项目所提供的服务以及是否有保险服务专员、日常服务回访机制等。具体、合理、可行(5-10]分；基本合理、可行计[0-5]分。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商务、合同条款偏离表</w:t>
            </w:r>
          </w:p>
          <w:p>
            <w:pPr>
              <w:pStyle w:val="null3"/>
            </w:pPr>
            <w:r>
              <w:rPr/>
              <w:t>服务方案</w:t>
            </w:r>
          </w:p>
          <w:p>
            <w:pPr>
              <w:pStyle w:val="null3"/>
            </w:pPr>
            <w:r>
              <w:rPr/>
              <w:t>业绩</w:t>
            </w:r>
          </w:p>
        </w:tc>
      </w:tr>
      <w:tr>
        <w:tc>
          <w:tcPr>
            <w:tcW w:type="dxa" w:w="831"/>
            <w:vMerge/>
          </w:tcPr>
          <w:p/>
        </w:tc>
        <w:tc>
          <w:tcPr>
            <w:tcW w:type="dxa" w:w="1661"/>
          </w:tcPr>
          <w:p>
            <w:pPr>
              <w:pStyle w:val="null3"/>
            </w:pPr>
            <w:r>
              <w:rPr/>
              <w:t>增值服务</w:t>
            </w:r>
          </w:p>
        </w:tc>
        <w:tc>
          <w:tcPr>
            <w:tcW w:type="dxa" w:w="2492"/>
          </w:tcPr>
          <w:p>
            <w:pPr>
              <w:pStyle w:val="null3"/>
            </w:pPr>
            <w:r>
              <w:rPr/>
              <w:t>供应商在采购内容之外能够对被保险人提供另外的增值服务，按照提供的增值服务项目，每提供一项增值服务得 1 分，最高得5分，未提供不得分。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商务、合同条款偏离表</w:t>
            </w:r>
          </w:p>
          <w:p>
            <w:pPr>
              <w:pStyle w:val="null3"/>
            </w:pPr>
            <w:r>
              <w:rPr/>
              <w:t>服务方案</w:t>
            </w:r>
          </w:p>
          <w:p>
            <w:pPr>
              <w:pStyle w:val="null3"/>
            </w:pPr>
            <w:r>
              <w:rPr/>
              <w:t>业绩</w:t>
            </w:r>
          </w:p>
        </w:tc>
      </w:tr>
      <w:tr>
        <w:tc>
          <w:tcPr>
            <w:tcW w:type="dxa" w:w="831"/>
            <w:vMerge/>
          </w:tcPr>
          <w:p/>
        </w:tc>
        <w:tc>
          <w:tcPr>
            <w:tcW w:type="dxa" w:w="1661"/>
          </w:tcPr>
          <w:p>
            <w:pPr>
              <w:pStyle w:val="null3"/>
            </w:pPr>
            <w:r>
              <w:rPr/>
              <w:t>对采购人提供理赔材料有欠缺的协助处理方案</w:t>
            </w:r>
          </w:p>
        </w:tc>
        <w:tc>
          <w:tcPr>
            <w:tcW w:type="dxa" w:w="2492"/>
          </w:tcPr>
          <w:p>
            <w:pPr>
              <w:pStyle w:val="null3"/>
            </w:pPr>
            <w:r>
              <w:rPr/>
              <w:t>有上门收取采购人理赔资料的服务具体流程。方案及流程科学、合理、有效，可行性强的计(3-5]分；基本合理、内容较完善的计[0-3]分。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商务、合同条款偏离表</w:t>
            </w:r>
          </w:p>
          <w:p>
            <w:pPr>
              <w:pStyle w:val="null3"/>
            </w:pPr>
            <w:r>
              <w:rPr/>
              <w:t>服务方案</w:t>
            </w:r>
          </w:p>
          <w:p>
            <w:pPr>
              <w:pStyle w:val="null3"/>
            </w:pPr>
            <w:r>
              <w:rPr/>
              <w:t>业绩</w:t>
            </w:r>
          </w:p>
        </w:tc>
      </w:tr>
      <w:tr>
        <w:tc>
          <w:tcPr>
            <w:tcW w:type="dxa" w:w="831"/>
            <w:vMerge/>
          </w:tcPr>
          <w:p/>
        </w:tc>
        <w:tc>
          <w:tcPr>
            <w:tcW w:type="dxa" w:w="1661"/>
          </w:tcPr>
          <w:p>
            <w:pPr>
              <w:pStyle w:val="null3"/>
            </w:pPr>
            <w:r>
              <w:rPr/>
              <w:t>供应商针对本项目提供的合理化建议及承诺</w:t>
            </w:r>
          </w:p>
        </w:tc>
        <w:tc>
          <w:tcPr>
            <w:tcW w:type="dxa" w:w="2492"/>
          </w:tcPr>
          <w:p>
            <w:pPr>
              <w:pStyle w:val="null3"/>
            </w:pPr>
            <w:r>
              <w:rPr/>
              <w:t>合理、实用、可行计(3-5]分；基本合理、内容较完善的计[0-3]分。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商务、合同条款偏离表</w:t>
            </w:r>
          </w:p>
          <w:p>
            <w:pPr>
              <w:pStyle w:val="null3"/>
            </w:pPr>
            <w:r>
              <w:rPr/>
              <w:t>服务方案</w:t>
            </w:r>
          </w:p>
          <w:p>
            <w:pPr>
              <w:pStyle w:val="null3"/>
            </w:pPr>
            <w:r>
              <w:rPr/>
              <w:t>业绩</w:t>
            </w:r>
          </w:p>
        </w:tc>
      </w:tr>
      <w:tr>
        <w:tc>
          <w:tcPr>
            <w:tcW w:type="dxa" w:w="831"/>
            <w:vMerge/>
          </w:tcPr>
          <w:p/>
        </w:tc>
        <w:tc>
          <w:tcPr>
            <w:tcW w:type="dxa" w:w="1661"/>
          </w:tcPr>
          <w:p>
            <w:pPr>
              <w:pStyle w:val="null3"/>
            </w:pPr>
            <w:r>
              <w:rPr/>
              <w:t>偿付能力充足率</w:t>
            </w:r>
          </w:p>
        </w:tc>
        <w:tc>
          <w:tcPr>
            <w:tcW w:type="dxa" w:w="2492"/>
          </w:tcPr>
          <w:p>
            <w:pPr>
              <w:pStyle w:val="null3"/>
            </w:pPr>
            <w:r>
              <w:rPr/>
              <w:t>供应商应提供上一年度经第三方审计机构出具的偿付能力报告，核心偿付能力200%及以上得5分，核心偿付能力150%-200%（不含）得4分，核心偿付能力100%-150%（不含）得3分。偿付能力低于100%不得分（未提供经第三方机构审计的年度末偿付能力报告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商务、合同条款偏离表</w:t>
            </w:r>
          </w:p>
          <w:p>
            <w:pPr>
              <w:pStyle w:val="null3"/>
            </w:pPr>
            <w:r>
              <w:rPr/>
              <w:t>服务方案</w:t>
            </w:r>
          </w:p>
          <w:p>
            <w:pPr>
              <w:pStyle w:val="null3"/>
            </w:pPr>
            <w:r>
              <w:rPr/>
              <w:t>业绩</w:t>
            </w:r>
          </w:p>
        </w:tc>
      </w:tr>
      <w:tr>
        <w:tc>
          <w:tcPr>
            <w:tcW w:type="dxa" w:w="831"/>
            <w:vMerge/>
          </w:tcPr>
          <w:p/>
        </w:tc>
        <w:tc>
          <w:tcPr>
            <w:tcW w:type="dxa" w:w="1661"/>
          </w:tcPr>
          <w:p>
            <w:pPr>
              <w:pStyle w:val="null3"/>
            </w:pPr>
            <w:r>
              <w:rPr/>
              <w:t>类似业绩</w:t>
            </w:r>
          </w:p>
        </w:tc>
        <w:tc>
          <w:tcPr>
            <w:tcW w:type="dxa" w:w="2492"/>
          </w:tcPr>
          <w:p>
            <w:pPr>
              <w:pStyle w:val="null3"/>
            </w:pPr>
            <w:r>
              <w:rPr/>
              <w:t>提供2021年1月1日以来开展的类似业绩证明，以保险合同或协议书复印件为准，每提供1个得2分，最高得10分。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商务、合同条款偏离表</w:t>
            </w:r>
          </w:p>
          <w:p>
            <w:pPr>
              <w:pStyle w:val="null3"/>
            </w:pPr>
            <w:r>
              <w:rPr/>
              <w:t>服务方案</w:t>
            </w:r>
          </w:p>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1.经初审合格的磋商响应文件，其磋商报价（587,680.00元）为有效磋商报价，对符合政策性扣减的供应商的有效磋商价格进行政策性扣减（10%），并依据扣减后的价格（评审价格）进行价格评审。 2.满足磋商文件实质性要求（587,680.00元）且最终评审价格最低的供应商的价格为磋商基准价，其价格分20分。 3.磋商报价得分=（磋商基准价/最终评审报价）×20的公式计算得分。 4.磋商报价不完整的，不进入磋商基准价的计算，本项得0分。 5.磋商总价=每人20元/份*2.9384万份</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详见附件：商务、合同条款偏离表</w:t>
      </w:r>
    </w:p>
    <w:p>
      <w:pPr>
        <w:pStyle w:val="null3"/>
        <w:ind w:firstLine="960"/>
      </w:pPr>
      <w:r>
        <w:rPr/>
        <w:t>详见附件：服务方案</w:t>
      </w:r>
    </w:p>
    <w:p>
      <w:pPr>
        <w:pStyle w:val="null3"/>
        <w:ind w:firstLine="960"/>
      </w:pPr>
      <w:r>
        <w:rPr/>
        <w:t>详见附件：业绩</w:t>
      </w:r>
    </w:p>
    <w:p>
      <w:pPr>
        <w:pStyle w:val="null3"/>
        <w:ind w:firstLine="960"/>
      </w:pPr>
      <w:r>
        <w:rPr/>
        <w:t>详见附件：其他说明</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