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b/>
          <w:sz w:val="28"/>
        </w:rPr>
        <w:t>商务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   </w:t>
      </w:r>
      <w:r>
        <w:rPr>
          <w:rFonts w:hint="eastAsia" w:ascii="宋体" w:hAnsi="宋体" w:eastAsia="宋体" w:cs="宋体"/>
          <w:kern w:val="0"/>
        </w:rPr>
        <w:t xml:space="preserve"> 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招标文件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投标文件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...</w:t>
            </w: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</w:tbl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说明：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1.本表需填写投标文件中与招标文件中商务条款有偏离内容，商务部分不允许有负偏离。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2.投标文件中响应与招标文件要求完全一致的，不用在此表中列出，但必须对此表进行响应。此表空白视为完全响应，无偏离。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3.投标人必须据实填写，不得虚假响应，否则将取消其投标或中标资格，并按有关规定进处罚。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投标人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44483B78"/>
    <w:rsid w:val="4448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2024-04-18T07:41:00Z</dcterms:created>
  <dc:creator>哆啦不懂A梦</dc:creator>
  <cp:lastModifiedBy>哆啦不懂A梦</cp:lastModifiedBy>
  <dcterms:modified xsi:type="dcterms:W3CDTF">2024-04-18T07:42:03Z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952E247FF3244AD79E19A878E4FE4771_11</vt:lpwstr>
  </property>
</Properties>
</file>