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西安市临潼区湿地保护规划（2025-2030）项目</w:t>
      </w:r>
    </w:p>
    <w:p>
      <w:pPr>
        <w:pStyle w:val="null3"/>
        <w:jc w:val="center"/>
        <w:outlineLvl w:val="2"/>
      </w:pPr>
      <w:r>
        <w:rPr>
          <w:sz w:val="28"/>
          <w:b/>
        </w:rPr>
        <w:t>采购项目编号：</w:t>
      </w:r>
      <w:r>
        <w:rPr>
          <w:sz w:val="28"/>
          <w:b/>
        </w:rPr>
        <w:t>DCZB-2024-XA–Z042</w:t>
      </w:r>
      <w:r>
        <w:br/>
      </w:r>
      <w:r>
        <w:br/>
      </w:r>
      <w:r>
        <w:br/>
      </w:r>
    </w:p>
    <w:p>
      <w:pPr>
        <w:pStyle w:val="null3"/>
        <w:jc w:val="center"/>
        <w:outlineLvl w:val="2"/>
      </w:pPr>
      <w:r>
        <w:rPr>
          <w:sz w:val="28"/>
          <w:b/>
        </w:rPr>
        <w:t>西安市临潼区秦岭生态环境保护和综合执法局</w:t>
      </w:r>
    </w:p>
    <w:p>
      <w:pPr>
        <w:pStyle w:val="null3"/>
        <w:jc w:val="center"/>
        <w:outlineLvl w:val="2"/>
      </w:pPr>
      <w:r>
        <w:rPr>
          <w:sz w:val="28"/>
          <w:b/>
        </w:rPr>
        <w:t>陕西顶诚招标有限公司</w:t>
      </w:r>
      <w:r>
        <w:rPr>
          <w:sz w:val="28"/>
          <w:b/>
        </w:rPr>
        <w:t>共同编制</w:t>
      </w:r>
    </w:p>
    <w:p>
      <w:pPr>
        <w:pStyle w:val="null3"/>
        <w:jc w:val="center"/>
        <w:outlineLvl w:val="2"/>
      </w:pPr>
      <w:r>
        <w:rPr>
          <w:sz w:val="28"/>
          <w:b/>
        </w:rPr>
        <w:t>2024年12月25日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陕西顶诚招标有限公司</w:t>
      </w:r>
      <w:r>
        <w:rPr/>
        <w:t>（以下简称“代理机构”）受</w:t>
      </w:r>
      <w:r>
        <w:rPr/>
        <w:t>西安市临潼区秦岭生态环境保护和综合执法局</w:t>
      </w:r>
      <w:r>
        <w:rPr/>
        <w:t>委托，拟对</w:t>
      </w:r>
      <w:r>
        <w:rPr/>
        <w:t>西安市临潼区湿地保护规划（2025-2030）项目</w:t>
      </w:r>
      <w:r>
        <w:rPr/>
        <w:t>采用竞争性磋商采购方式进行采购，兹邀请供应商参加本项目的竞争性磋商。</w:t>
      </w:r>
    </w:p>
    <w:p>
      <w:pPr>
        <w:pStyle w:val="null3"/>
        <w:outlineLvl w:val="2"/>
      </w:pPr>
      <w:r>
        <w:rPr>
          <w:sz w:val="28"/>
          <w:b/>
        </w:rPr>
        <w:t>一、项目编号：</w:t>
      </w:r>
      <w:r>
        <w:rPr>
          <w:sz w:val="28"/>
          <w:b/>
        </w:rPr>
        <w:t>DCZB-2024-XA–Z042</w:t>
      </w:r>
    </w:p>
    <w:p>
      <w:pPr>
        <w:pStyle w:val="null3"/>
        <w:outlineLvl w:val="2"/>
      </w:pPr>
      <w:r>
        <w:rPr>
          <w:sz w:val="28"/>
          <w:b/>
        </w:rPr>
        <w:t>二、项目名称：</w:t>
      </w:r>
      <w:r>
        <w:rPr>
          <w:sz w:val="28"/>
          <w:b/>
        </w:rPr>
        <w:t>西安市临潼区湿地保护规划（2025-2030）项目</w:t>
      </w:r>
    </w:p>
    <w:p>
      <w:pPr>
        <w:pStyle w:val="null3"/>
        <w:outlineLvl w:val="2"/>
      </w:pPr>
      <w:r>
        <w:rPr>
          <w:sz w:val="28"/>
          <w:b/>
        </w:rPr>
        <w:t>三、磋商项目简介</w:t>
      </w:r>
    </w:p>
    <w:p>
      <w:pPr>
        <w:pStyle w:val="null3"/>
        <w:ind w:firstLine="480"/>
      </w:pPr>
      <w:r>
        <w:rPr/>
        <w:t>根据《西安市湿地保护条例》（2016年10月20日西安市人大常委会审议通过，2017年1月1日起施行）有关要求，结合《西安市湿地保护总体规划》中我区湿地分布情况、保护范围、生态功能、野生生物资源和土地利用状况等实际，进一步确认湿地保护范围、湿地生态保护红线及禁止开发建设区域和限制开发建设区域，制定临潼区近6年湿地保护和利用的总体要求、目标任务、保障措施。</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采购包1（湿地保护规划设计）：属于专门面向中小企业采购。</w:t>
      </w:r>
    </w:p>
    <w:p>
      <w:pPr>
        <w:pStyle w:val="null3"/>
        <w:ind w:firstLine="480"/>
      </w:pPr>
      <w:r>
        <w:rPr/>
        <w:t>（三）本项目的特定资格要求：</w:t>
      </w:r>
    </w:p>
    <w:p>
      <w:pPr>
        <w:pStyle w:val="null3"/>
      </w:pPr>
      <w:r>
        <w:rPr/>
        <w:t>采购包1：</w:t>
      </w:r>
    </w:p>
    <w:p>
      <w:pPr>
        <w:pStyle w:val="null3"/>
      </w:pPr>
      <w:r>
        <w:rPr/>
        <w:t>1、法定代表人委托授权书：授权代表磋商时，提供法定代表人授权书和被授权人单位证明（磋商截止前6个月内任意1个月的缴纳社会保障金证明）；法定代表人磋商时,须提供本人身份证；非法人单位参照执行；</w:t>
      </w:r>
    </w:p>
    <w:p>
      <w:pPr>
        <w:pStyle w:val="null3"/>
      </w:pPr>
      <w:r>
        <w:rPr/>
        <w:t>2、企业资质： 供应商须具备林业调查规划设计资质；</w:t>
      </w:r>
    </w:p>
    <w:p>
      <w:pPr>
        <w:pStyle w:val="null3"/>
      </w:pPr>
      <w:r>
        <w:rPr/>
        <w:t>3、项目负责人：拟派项目负责人须具有林业工程师执业资格。</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西安市临潼区秦岭生态环境保护和综合执法局</w:t>
      </w:r>
    </w:p>
    <w:p>
      <w:pPr>
        <w:pStyle w:val="null3"/>
      </w:pPr>
      <w:r>
        <w:rPr/>
        <w:t xml:space="preserve"> 地址： </w:t>
      </w:r>
      <w:r>
        <w:rPr/>
        <w:t>西安市临潼区人民西路4号</w:t>
      </w:r>
    </w:p>
    <w:p>
      <w:pPr>
        <w:pStyle w:val="null3"/>
      </w:pPr>
      <w:r>
        <w:rPr/>
        <w:t xml:space="preserve"> 邮编： </w:t>
      </w:r>
      <w:r>
        <w:rPr/>
        <w:t>710699</w:t>
      </w:r>
    </w:p>
    <w:p>
      <w:pPr>
        <w:pStyle w:val="null3"/>
      </w:pPr>
      <w:r>
        <w:rPr/>
        <w:t xml:space="preserve"> 联系人： </w:t>
      </w:r>
      <w:r>
        <w:rPr/>
        <w:t>张先生</w:t>
      </w:r>
    </w:p>
    <w:p>
      <w:pPr>
        <w:pStyle w:val="null3"/>
      </w:pPr>
      <w:r>
        <w:rPr/>
        <w:t xml:space="preserve"> 联系电话： </w:t>
      </w:r>
      <w:r>
        <w:rPr/>
        <w:t>029-83439878</w:t>
      </w:r>
    </w:p>
    <w:p>
      <w:pPr>
        <w:pStyle w:val="null3"/>
        <w:outlineLvl w:val="3"/>
      </w:pPr>
      <w:r>
        <w:rPr>
          <w:sz w:val="24"/>
          <w:b/>
        </w:rPr>
        <w:t>代理机构：</w:t>
      </w:r>
      <w:r>
        <w:rPr>
          <w:sz w:val="24"/>
          <w:b/>
        </w:rPr>
        <w:t>陕西顶诚招标有限公司</w:t>
      </w:r>
    </w:p>
    <w:p>
      <w:pPr>
        <w:pStyle w:val="null3"/>
      </w:pPr>
      <w:r>
        <w:rPr/>
        <w:t xml:space="preserve"> 地址： </w:t>
      </w:r>
      <w:r>
        <w:rPr/>
        <w:t>陕西省西安市灞桥区长乐东路2999号京都国际3号楼1506号房</w:t>
      </w:r>
    </w:p>
    <w:p>
      <w:pPr>
        <w:pStyle w:val="null3"/>
      </w:pPr>
      <w:r>
        <w:rPr/>
        <w:t xml:space="preserve"> 邮编： </w:t>
      </w:r>
      <w:r>
        <w:rPr/>
        <w:t>710038</w:t>
      </w:r>
    </w:p>
    <w:p>
      <w:pPr>
        <w:pStyle w:val="null3"/>
      </w:pPr>
      <w:r>
        <w:rPr/>
        <w:t xml:space="preserve"> 联系人： </w:t>
      </w:r>
      <w:r>
        <w:rPr/>
        <w:t>袁箔 黄建峰 王景华</w:t>
      </w:r>
    </w:p>
    <w:p>
      <w:pPr>
        <w:pStyle w:val="null3"/>
      </w:pPr>
      <w:r>
        <w:rPr/>
        <w:t xml:space="preserve"> 联系电话： </w:t>
      </w:r>
      <w:r>
        <w:rPr/>
        <w:t>029-83479858-802</w:t>
      </w:r>
    </w:p>
    <w:p>
      <w:pPr>
        <w:pStyle w:val="null3"/>
        <w:outlineLvl w:val="3"/>
      </w:pPr>
      <w:r>
        <w:rPr>
          <w:sz w:val="24"/>
          <w:b/>
        </w:rPr>
        <w:t>采购监督机构：</w:t>
      </w:r>
      <w:r>
        <w:rPr>
          <w:sz w:val="24"/>
          <w:b/>
        </w:rPr>
        <w:t>西安市临潼区政府采购管理股</w:t>
      </w:r>
    </w:p>
    <w:p>
      <w:pPr>
        <w:pStyle w:val="null3"/>
        <w:ind w:firstLine="480"/>
      </w:pPr>
      <w:r>
        <w:rPr/>
        <w:t>联系人：</w:t>
      </w:r>
      <w:r>
        <w:rPr/>
        <w:t>马明</w:t>
      </w:r>
    </w:p>
    <w:p>
      <w:pPr>
        <w:pStyle w:val="null3"/>
        <w:ind w:firstLine="480"/>
      </w:pPr>
      <w:r>
        <w:rPr/>
        <w:t>联系电话：</w:t>
      </w:r>
      <w:r>
        <w:rPr/>
        <w:t>83825758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代理服务费收费标准：参照原国家计委《招标代理服务收费管理暂行办法》（[2002]1980号文规定的收费标准收取，向陕西顶诚招标有限公司交纳采购代理服务费。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西安市临潼区秦岭生态环境保护和综合执法局</w:t>
      </w:r>
      <w:r>
        <w:rPr/>
        <w:t>和</w:t>
      </w:r>
      <w:r>
        <w:rPr/>
        <w:t>陕西顶诚招标有限公司</w:t>
      </w:r>
      <w:r>
        <w:rPr/>
        <w:t>享有。对磋商文件中供应商参加本次政府采购活动应当具备的条件，磋商项目技术、服务、商务及其他要求，评审细则及标准由</w:t>
      </w:r>
      <w:r>
        <w:rPr/>
        <w:t>西安市临潼区秦岭生态环境保护和综合执法局</w:t>
      </w:r>
      <w:r>
        <w:rPr/>
        <w:t>负责解释。除上述磋商文件内容，其他内容由</w:t>
      </w:r>
      <w:r>
        <w:rPr/>
        <w:t>陕西顶诚招标有限公司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西安市临潼区秦岭生态环境保护和综合执法局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陕西顶诚招标有限公司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项目的质量要求：符合国家关于湿地保护相关法律法规、技术标准及临潼区国土空间规划，并通过区级审核审批。</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陕西顶诚招标有限公司</w:t>
      </w:r>
      <w:r>
        <w:rPr/>
        <w:t xml:space="preserve"> 负责答复；供应商对除采购需求外的采购文件的询问、质疑由</w:t>
      </w:r>
      <w:r>
        <w:rPr/>
        <w:t>陕西顶诚招标有限公司</w:t>
      </w:r>
      <w:r>
        <w:rPr/>
        <w:t xml:space="preserve"> 负责答复；供应商对采购过程、采购结果的询问、质疑由 </w:t>
      </w:r>
      <w:r>
        <w:rPr/>
        <w:t>陕西顶诚招标有限公司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答复主体：采购单位</w:t>
      </w:r>
    </w:p>
    <w:p>
      <w:pPr>
        <w:pStyle w:val="null3"/>
      </w:pPr>
      <w:r>
        <w:rPr/>
        <w:t>联系人：张先生</w:t>
      </w:r>
    </w:p>
    <w:p>
      <w:pPr>
        <w:pStyle w:val="null3"/>
      </w:pPr>
      <w:r>
        <w:rPr/>
        <w:t>联系电话：029-83439878</w:t>
      </w:r>
    </w:p>
    <w:p>
      <w:pPr>
        <w:pStyle w:val="null3"/>
      </w:pPr>
      <w:r>
        <w:rPr/>
        <w:t>地址：西安市临潼区人民西路4号</w:t>
      </w:r>
    </w:p>
    <w:p>
      <w:pPr>
        <w:pStyle w:val="null3"/>
      </w:pPr>
      <w:r>
        <w:rPr/>
        <w:t>邮编：710699</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根据《西安市湿地保护条例》（2016年10月20日西安市人大常委会审议通过，2017年1月1日起施行）有关要求，结合《西安市湿地保护总体规划》中我区湿地分布情况、保护范围、生态功能、野生生物资源和土地利用状况等实际，进一步确认湿地保护范围、湿地生态保护红线及禁止开发建设区域和限制开发建设区域，制定临潼区近6年湿地保护和利用的总体要求、目标任务、保障措施。</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湿地保护规划</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标的名称：湿地保护规划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ind w:firstLine="482"/>
              <w:jc w:val="both"/>
            </w:pPr>
            <w:r>
              <w:rPr>
                <w:rFonts w:ascii="宋体" w:hAnsi="宋体" w:cs="宋体" w:eastAsia="宋体"/>
                <w:sz w:val="24"/>
                <w:b/>
              </w:rPr>
              <w:t>1</w:t>
            </w:r>
            <w:r>
              <w:rPr>
                <w:rFonts w:ascii="宋体" w:hAnsi="宋体" w:cs="宋体" w:eastAsia="宋体"/>
                <w:sz w:val="24"/>
                <w:b/>
              </w:rPr>
              <w:t>、项目概况</w:t>
            </w:r>
          </w:p>
          <w:p>
            <w:pPr>
              <w:pStyle w:val="null3"/>
              <w:ind w:firstLine="480"/>
              <w:jc w:val="both"/>
            </w:pPr>
            <w:r>
              <w:rPr>
                <w:rFonts w:ascii="宋体" w:hAnsi="宋体" w:cs="宋体" w:eastAsia="宋体"/>
                <w:sz w:val="24"/>
              </w:rPr>
              <w:t>根据《西安市湿地保护条例》（</w:t>
            </w:r>
            <w:r>
              <w:rPr>
                <w:rFonts w:ascii="宋体" w:hAnsi="宋体" w:cs="宋体" w:eastAsia="宋体"/>
                <w:sz w:val="24"/>
              </w:rPr>
              <w:t>2016年10月20日西安市人大常委会审议通过，2017年1月1日起施行）有关要求，结合《西安市湿地保护总体规划》中我区湿地分布情况、保护范围、生态功能、野生生物资源和土地利用状况等实际，进一步确认湿地保护范围、湿地生态保护红线及禁止开发建设区域和限制开发建设区域，制定临潼区近6年湿地保护和利用的总体要求、目标任务、保障措施。</w:t>
            </w:r>
          </w:p>
          <w:p>
            <w:pPr>
              <w:pStyle w:val="null3"/>
              <w:ind w:firstLine="482"/>
              <w:jc w:val="both"/>
            </w:pPr>
            <w:r>
              <w:rPr>
                <w:rFonts w:ascii="宋体" w:hAnsi="宋体" w:cs="宋体" w:eastAsia="宋体"/>
                <w:sz w:val="24"/>
                <w:b/>
              </w:rPr>
              <w:t>2、工作任务</w:t>
            </w:r>
          </w:p>
          <w:p>
            <w:pPr>
              <w:pStyle w:val="null3"/>
              <w:ind w:firstLine="482"/>
              <w:jc w:val="both"/>
            </w:pPr>
            <w:r>
              <w:rPr>
                <w:rFonts w:ascii="宋体" w:hAnsi="宋体" w:cs="宋体" w:eastAsia="宋体"/>
                <w:sz w:val="24"/>
                <w:b/>
              </w:rPr>
              <w:t>规划编制时间为</w:t>
            </w:r>
            <w:r>
              <w:rPr>
                <w:rFonts w:ascii="宋体" w:hAnsi="宋体" w:cs="宋体" w:eastAsia="宋体"/>
                <w:sz w:val="24"/>
                <w:b/>
              </w:rPr>
              <w:t>6年，编制的湿地保护规划基准年为2025年，目标为2030年。</w:t>
            </w:r>
          </w:p>
          <w:p>
            <w:pPr>
              <w:pStyle w:val="null3"/>
              <w:ind w:firstLine="482"/>
              <w:jc w:val="both"/>
            </w:pPr>
            <w:r>
              <w:rPr>
                <w:rFonts w:ascii="宋体" w:hAnsi="宋体" w:cs="宋体" w:eastAsia="宋体"/>
                <w:sz w:val="24"/>
                <w:b/>
              </w:rPr>
              <w:t>编制的湿地保护规划，要符合国土空间规划、城乡规划、土地利用总体规划、林地保护规划、水土保持总体规划、环境保护规划、秦岭保护条例，并与其他我区相关专项规划相衔接。</w:t>
            </w:r>
          </w:p>
          <w:p>
            <w:pPr>
              <w:pStyle w:val="null3"/>
              <w:ind w:firstLine="482"/>
              <w:jc w:val="both"/>
            </w:pPr>
            <w:r>
              <w:rPr>
                <w:rFonts w:ascii="宋体" w:hAnsi="宋体" w:cs="宋体" w:eastAsia="宋体"/>
                <w:sz w:val="24"/>
                <w:b/>
              </w:rPr>
              <w:t>3、成果文件：成果文件须提供西安市临潼区湿地保护规划文本及其他相关报告、数据库。</w:t>
            </w:r>
            <w:r>
              <w:rPr>
                <w:rFonts w:ascii="宋体" w:hAnsi="宋体" w:cs="宋体" w:eastAsia="宋体"/>
                <w:sz w:val="24"/>
                <w:b/>
              </w:rPr>
              <w:t>文本及其他相关报告</w:t>
            </w:r>
            <w:r>
              <w:rPr>
                <w:rFonts w:ascii="宋体" w:hAnsi="宋体" w:cs="宋体" w:eastAsia="宋体"/>
                <w:sz w:val="24"/>
                <w:b/>
              </w:rPr>
              <w:t>10份，数据库（光盘）2份。</w:t>
            </w:r>
          </w:p>
          <w:p>
            <w:pPr>
              <w:pStyle w:val="null3"/>
              <w:ind w:firstLine="482"/>
              <w:jc w:val="both"/>
            </w:pPr>
            <w:r>
              <w:rPr>
                <w:rFonts w:ascii="宋体" w:hAnsi="宋体" w:cs="宋体" w:eastAsia="宋体"/>
                <w:sz w:val="24"/>
                <w:b/>
              </w:rPr>
              <w:t>4、其他事项</w:t>
            </w:r>
          </w:p>
          <w:p>
            <w:pPr>
              <w:pStyle w:val="null3"/>
              <w:ind w:firstLine="480"/>
              <w:jc w:val="both"/>
            </w:pPr>
            <w:r>
              <w:rPr>
                <w:rFonts w:ascii="宋体" w:hAnsi="宋体" w:cs="宋体" w:eastAsia="宋体"/>
                <w:sz w:val="24"/>
              </w:rPr>
              <w:t>4.1后续服务: 本项目所需的规划所有费用均包含在总报价中</w:t>
            </w:r>
          </w:p>
          <w:p>
            <w:pPr>
              <w:pStyle w:val="null3"/>
              <w:ind w:firstLine="480"/>
              <w:jc w:val="both"/>
            </w:pPr>
            <w:r>
              <w:rPr>
                <w:rFonts w:ascii="宋体" w:hAnsi="宋体" w:cs="宋体" w:eastAsia="宋体"/>
                <w:sz w:val="24"/>
              </w:rPr>
              <w:t>4.2进度要求: 按照采购人进度要求完成。</w:t>
            </w:r>
          </w:p>
          <w:p>
            <w:pPr>
              <w:pStyle w:val="null3"/>
              <w:ind w:firstLine="480"/>
              <w:jc w:val="both"/>
            </w:pPr>
            <w:r>
              <w:rPr>
                <w:rFonts w:ascii="宋体" w:hAnsi="宋体" w:cs="宋体" w:eastAsia="宋体"/>
                <w:sz w:val="24"/>
              </w:rPr>
              <w:t>4.3成果交付要求: 需达到采购人对项目的具体要求.</w:t>
            </w:r>
          </w:p>
          <w:p>
            <w:pPr>
              <w:pStyle w:val="null3"/>
              <w:ind w:firstLine="480"/>
              <w:jc w:val="both"/>
            </w:pPr>
            <w:r>
              <w:rPr>
                <w:rFonts w:ascii="宋体" w:hAnsi="宋体" w:cs="宋体" w:eastAsia="宋体"/>
                <w:sz w:val="24"/>
              </w:rPr>
              <w:t>4.4质量验收标准或规范</w:t>
            </w:r>
          </w:p>
          <w:p>
            <w:pPr>
              <w:pStyle w:val="null3"/>
              <w:ind w:firstLine="480"/>
              <w:jc w:val="both"/>
            </w:pPr>
            <w:r>
              <w:rPr>
                <w:rFonts w:ascii="宋体" w:hAnsi="宋体" w:cs="宋体" w:eastAsia="宋体"/>
                <w:sz w:val="24"/>
              </w:rPr>
              <w:t>4.5所提供项目详细性规划必须满足采购人要求能够通过规委会、专家评审。</w:t>
            </w:r>
          </w:p>
          <w:p>
            <w:pPr>
              <w:pStyle w:val="null3"/>
              <w:ind w:firstLine="480"/>
              <w:jc w:val="both"/>
            </w:pPr>
            <w:r>
              <w:rPr>
                <w:rFonts w:ascii="宋体" w:hAnsi="宋体" w:cs="宋体" w:eastAsia="宋体"/>
                <w:sz w:val="24"/>
              </w:rPr>
              <w:t>4.6最终验收: 自合同签订之日起至完成全部项目内容，需按照采购人确定的时间完成交付并验收合格，验收合格后，填写验收单。</w:t>
            </w:r>
          </w:p>
          <w:p>
            <w:pPr>
              <w:pStyle w:val="null3"/>
              <w:ind w:firstLine="482"/>
              <w:jc w:val="both"/>
            </w:pPr>
          </w:p>
        </w:tc>
      </w:tr>
    </w:tbl>
    <w:p>
      <w:pPr>
        <w:pStyle w:val="null3"/>
        <w:outlineLvl w:val="2"/>
      </w:pPr>
      <w:r>
        <w:rPr>
          <w:sz w:val="28"/>
          <w:b/>
        </w:rPr>
        <w:t>3.2.3人员配置要求</w:t>
      </w:r>
    </w:p>
    <w:p>
      <w:pPr>
        <w:pStyle w:val="null3"/>
      </w:pPr>
      <w:r>
        <w:rPr/>
        <w:t>采购包1：</w:t>
      </w:r>
    </w:p>
    <w:p>
      <w:pPr>
        <w:pStyle w:val="null3"/>
      </w:pPr>
      <w:r>
        <w:rPr/>
        <w:t>满足本项目采购需求</w:t>
      </w:r>
    </w:p>
    <w:p>
      <w:pPr>
        <w:pStyle w:val="null3"/>
        <w:outlineLvl w:val="2"/>
      </w:pPr>
      <w:r>
        <w:rPr>
          <w:sz w:val="28"/>
          <w:b/>
        </w:rPr>
        <w:t>3.2.4设施设备要求</w:t>
      </w:r>
    </w:p>
    <w:p>
      <w:pPr>
        <w:pStyle w:val="null3"/>
      </w:pPr>
      <w:r>
        <w:rPr/>
        <w:t>采购包1：</w:t>
      </w:r>
    </w:p>
    <w:p>
      <w:pPr>
        <w:pStyle w:val="null3"/>
      </w:pPr>
      <w:r>
        <w:rPr/>
        <w:t>满足本项目采购需求</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合同签订之日起60日历日（具体服务起止日期可随合同签订时间相应顺延）。</w:t>
      </w:r>
    </w:p>
    <w:p>
      <w:pPr>
        <w:pStyle w:val="null3"/>
        <w:outlineLvl w:val="3"/>
      </w:pPr>
      <w:r>
        <w:rPr>
          <w:sz w:val="24"/>
          <w:b/>
        </w:rPr>
        <w:t>3.3.2服务地点</w:t>
      </w:r>
    </w:p>
    <w:p>
      <w:pPr>
        <w:pStyle w:val="null3"/>
      </w:pPr>
      <w:r>
        <w:rPr/>
        <w:t>采购包1：</w:t>
      </w:r>
    </w:p>
    <w:p>
      <w:pPr>
        <w:pStyle w:val="null3"/>
      </w:pPr>
      <w:r>
        <w:rPr/>
        <w:t>采购人指定</w:t>
      </w:r>
    </w:p>
    <w:p>
      <w:pPr>
        <w:pStyle w:val="null3"/>
        <w:outlineLvl w:val="3"/>
      </w:pPr>
      <w:r>
        <w:rPr>
          <w:sz w:val="24"/>
          <w:b/>
        </w:rPr>
        <w:t>3.3.3考核（验收）标准和方法</w:t>
      </w:r>
    </w:p>
    <w:p>
      <w:pPr>
        <w:pStyle w:val="null3"/>
      </w:pPr>
      <w:r>
        <w:rPr/>
        <w:t>采购包1：</w:t>
      </w:r>
    </w:p>
    <w:p>
      <w:pPr>
        <w:pStyle w:val="null3"/>
      </w:pPr>
      <w:r>
        <w:rPr/>
        <w:t>1.符合国家法律法规规定的标准、磋商文件和磋商响应文件所要求的技术标准。 2.成交供应商交付的成果文件须经专家评审通过，经相关部门程序审议通过。 3.成交供应商向采购人提交项目实施过程中的所有资料。 4.验收依据 (1) 国内相应的标准、规范； (2) 合同文本； (3) 磋商文件和磋商响应文件。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在甲方确认乙方已经完成前期准备工作并取得阶段性成果的情况下，甲方向乙方支付合同金额的50%</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乙方提交全部成果并经甲方验收合格后15个工作日内，甲方向乙方支付合同金额剩余的50%</w:t>
      </w:r>
      <w:r>
        <w:rPr/>
        <w:t xml:space="preserve"> ，达到付款条件起 </w:t>
      </w:r>
      <w:r>
        <w:rPr/>
        <w:t>10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1.按《中华人民共和国民典法》中的相关条款执行。 2. 未按合同要求提供施工与服务或不能满足技术要求，采购人有权终止合同，并对成交人违约行为进行追究，同时按《政府采购法》的有关规定进行处罚。</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1.供应商需在项目电子化交易系统中按要求填写《投标函》完成承诺并进行电子签章； 2.独立承担民事责任：有效的营业执照副本/事业单位法人证书副本/非企业专业服务机构执业许可证副本/民办非企业单位登记证书副本/个人工商户营业执照副本/自然人身份证； 3.财务状况：2023年度审计报告或近3个月内出具的银行资信证明； 4.依法缴纳税收和社会保障资金：磋商截止前6月内任意1个月缴纳税收和社会保障金的缴费凭据；依法不需要缴纳的供应商应提供相关文件证明； 5.参加政府采购活动前三年内无重大违法记录：参加政府采购活动前3年内经营活动中无重大违法记录声明； 6.代理机构查询投标时限内“信用中国”(www.creditchina.gov.cn)信用报告和“中国政府采购网”(www.ccgp.gov.cn)“政府采购严重违法失信行为记录名单”专栏内容，无严重失信记录；（查询项，无需提供）；</w:t>
            </w:r>
          </w:p>
        </w:tc>
        <w:tc>
          <w:tcPr>
            <w:tcW w:type="dxa" w:w="1661"/>
          </w:tcPr>
          <w:p>
            <w:pPr>
              <w:pStyle w:val="null3"/>
            </w:pPr>
            <w:r>
              <w:rPr/>
              <w:t>响应文件封面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参与供应商应提供《中小企业声明函》。监狱企业及残疾人福利性单位，视同小、微型企业。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法定代表人委托授权书</w:t>
            </w:r>
          </w:p>
        </w:tc>
        <w:tc>
          <w:tcPr>
            <w:tcW w:type="dxa" w:w="3322"/>
          </w:tcPr>
          <w:p>
            <w:pPr>
              <w:pStyle w:val="null3"/>
            </w:pPr>
            <w:r>
              <w:rPr/>
              <w:t>授权代表磋商时，提供法定代表人授权书和被授权人单位证明（磋商截止前6个月内任意1个月的缴纳社会保障金证明）；法定代表人磋商时,须提供本人身份证；非法人单位参照执行；</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企业资质</w:t>
            </w:r>
          </w:p>
        </w:tc>
        <w:tc>
          <w:tcPr>
            <w:tcW w:type="dxa" w:w="3322"/>
          </w:tcPr>
          <w:p>
            <w:pPr>
              <w:pStyle w:val="null3"/>
            </w:pPr>
            <w:r>
              <w:rPr/>
              <w:t xml:space="preserve"> 供应商须具备林业调查规划设计资质；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项目负责人</w:t>
            </w:r>
          </w:p>
        </w:tc>
        <w:tc>
          <w:tcPr>
            <w:tcW w:type="dxa" w:w="3322"/>
          </w:tcPr>
          <w:p>
            <w:pPr>
              <w:pStyle w:val="null3"/>
            </w:pPr>
            <w:r>
              <w:rPr/>
              <w:t>拟派项目负责人须具有林业工程师执业资格。</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响应文件完整性</w:t>
            </w:r>
          </w:p>
        </w:tc>
        <w:tc>
          <w:tcPr>
            <w:tcW w:type="dxa" w:w="3322"/>
          </w:tcPr>
          <w:p>
            <w:pPr>
              <w:pStyle w:val="null3"/>
            </w:pPr>
            <w:r>
              <w:rPr/>
              <w:t>磋商小组审查磋商响应文件是否完整，文件签 署是否合格、投标有效期是否满足磋商文件要 求，商务及技术响应满足磋商文件要求等。</w:t>
            </w:r>
          </w:p>
        </w:tc>
        <w:tc>
          <w:tcPr>
            <w:tcW w:type="dxa" w:w="1661"/>
          </w:tcPr>
          <w:p>
            <w:pPr>
              <w:pStyle w:val="null3"/>
            </w:pPr>
            <w:r>
              <w:rPr/>
              <w:t>响应文件封面 商务应答表 拒绝政府采购领域商业贿赂承诺书</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总体要求</w:t>
            </w:r>
          </w:p>
        </w:tc>
        <w:tc>
          <w:tcPr>
            <w:tcW w:type="dxa" w:w="2492"/>
          </w:tcPr>
          <w:p>
            <w:pPr>
              <w:pStyle w:val="null3"/>
            </w:pPr>
            <w:r>
              <w:rPr/>
              <w:t>总体要求： ①对本项目技术标准、规划编制要求的认识和理解程度； ②对本项目的总体思路、实施步骤各阶段控制保障措施； ③对本项目的重点、难点、分析透彻、关键技术问题认识全面、处理措施得当、有针对性解决方案。 共3项内容，各项内容全面详细、阐述条理清晰详尽、符合本项目采购需求，能有效保障本项目实施的得15分，每有一个缺项扣5分，每有一项内容存在缺陷，扣1-3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总体实施（规划）方案</w:t>
            </w:r>
          </w:p>
        </w:tc>
        <w:tc>
          <w:tcPr>
            <w:tcW w:type="dxa" w:w="2492"/>
          </w:tcPr>
          <w:p>
            <w:pPr>
              <w:pStyle w:val="null3"/>
            </w:pPr>
            <w:r>
              <w:rPr/>
              <w:t>根据磋商单位提供的总体实施（规划）方案，由评审专家自主赋分。 ①编制依据及成果目标； ②编制方案及服务流程； ③进度保证措施； ④安全、保密措施。 共4项内容，各项内容全面详细、阐述条理清晰详尽、符合本项目采购需求，能有效保障本项目实施的得20分，每有一个缺项扣5分，每有一项内容存在缺陷，扣1-3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质量保证措施</w:t>
            </w:r>
          </w:p>
        </w:tc>
        <w:tc>
          <w:tcPr>
            <w:tcW w:type="dxa" w:w="2492"/>
          </w:tcPr>
          <w:p>
            <w:pPr>
              <w:pStyle w:val="null3"/>
            </w:pPr>
            <w:r>
              <w:rPr/>
              <w:t>磋商单位针对本项目制定详细的质量保证措施，措施内容包含： ①质量控制制度、②质量控制标准、③质量控制程序、④验收措施。 共4项内容，各项内容全面详细、阐述条理清晰详尽、符合本项目采购需求，能有效保障本项目实施的得12分，每有一个缺项扣3分，每有一项内容存在缺陷，扣1-2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组织架构及人员</w:t>
            </w:r>
          </w:p>
        </w:tc>
        <w:tc>
          <w:tcPr>
            <w:tcW w:type="dxa" w:w="2492"/>
          </w:tcPr>
          <w:p>
            <w:pPr>
              <w:pStyle w:val="null3"/>
            </w:pPr>
            <w:r>
              <w:rPr/>
              <w:t>根据磋商单位的组织架构设置及人员管理情况，由评审专家自主赋分。 ①内部规章制度、②奖惩措施、③岗位职责划分。 共3项内容，各项内容全面详细、阐述条理清晰详尽、符合本项目采购需求，能有效保障本项目实施的得9分，每有一个缺项扣3分，每有一项内容存在缺陷，扣1-2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团队成员职称</w:t>
            </w:r>
          </w:p>
        </w:tc>
        <w:tc>
          <w:tcPr>
            <w:tcW w:type="dxa" w:w="2492"/>
          </w:tcPr>
          <w:p>
            <w:pPr>
              <w:pStyle w:val="null3"/>
            </w:pPr>
            <w:r>
              <w:rPr/>
              <w:t>项目团队成员（除项目负责人外）具备本项目所需的专业（城市规划、土地规划、城市交通、市政工程、测绘工程等相关专业）高级职称的每个计2分，中级职称的每个计1分，其他不得分，满分6分。 注：需提供相关职称证书。</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履约能力及服务承诺</w:t>
            </w:r>
          </w:p>
        </w:tc>
      </w:tr>
      <w:tr>
        <w:tc>
          <w:tcPr>
            <w:tcW w:type="dxa" w:w="831"/>
            <w:vMerge/>
          </w:tcPr>
          <w:p/>
        </w:tc>
        <w:tc>
          <w:tcPr>
            <w:tcW w:type="dxa" w:w="1661"/>
          </w:tcPr>
          <w:p>
            <w:pPr>
              <w:pStyle w:val="null3"/>
            </w:pPr>
            <w:r>
              <w:rPr/>
              <w:t>单位业绩</w:t>
            </w:r>
          </w:p>
        </w:tc>
        <w:tc>
          <w:tcPr>
            <w:tcW w:type="dxa" w:w="2492"/>
          </w:tcPr>
          <w:p>
            <w:pPr>
              <w:pStyle w:val="null3"/>
            </w:pPr>
            <w:r>
              <w:rPr/>
              <w:t>根据磋商单位提供的2021年1月1日以来同类项目业绩，每份得2分，最高得6分。（每份业绩以合同为准）。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履约能力及服务承诺</w:t>
            </w:r>
          </w:p>
        </w:tc>
      </w:tr>
      <w:tr>
        <w:tc>
          <w:tcPr>
            <w:tcW w:type="dxa" w:w="831"/>
            <w:vMerge/>
          </w:tcPr>
          <w:p/>
        </w:tc>
        <w:tc>
          <w:tcPr>
            <w:tcW w:type="dxa" w:w="1661"/>
          </w:tcPr>
          <w:p>
            <w:pPr>
              <w:pStyle w:val="null3"/>
            </w:pPr>
            <w:r>
              <w:rPr/>
              <w:t>售后服务方案</w:t>
            </w:r>
          </w:p>
        </w:tc>
        <w:tc>
          <w:tcPr>
            <w:tcW w:type="dxa" w:w="2492"/>
          </w:tcPr>
          <w:p>
            <w:pPr>
              <w:pStyle w:val="null3"/>
            </w:pPr>
            <w:r>
              <w:rPr/>
              <w:t>针对本项目提供有①完整的售后服务体系、②售后服务人员安排、③售后服务响应时间与处理时间、④应急承诺（采购人提出服务要求后迅速响应给予解答、指导，排除有关问题）。 共4项内容，各项内容全面详细、阐述条理清晰详尽、符合本项目采购需求，能有效保障本项目实施的得12分，每有一个缺项扣3分，每有一项内容存在缺陷，扣1-2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履约能力及服务承诺</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评分方法：P=20×Pmin/ Pn 其中：Pmin：所有有效磋商报价的最低价。 Pn：第n个磋商单位的报价 磋商单位的报标价明显低于正常报价的，磋商小组可要求磋商单位在规定的期限内提供相关证明材料；磋商单位不能证明其报价合理的，可视为无效磋商。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详见附件：服务方案</w:t>
      </w:r>
    </w:p>
    <w:p>
      <w:pPr>
        <w:pStyle w:val="null3"/>
        <w:ind w:firstLine="960"/>
      </w:pPr>
      <w:r>
        <w:rPr/>
        <w:t>详见附件：履约能力及服务承诺</w:t>
      </w:r>
    </w:p>
    <w:p>
      <w:pPr>
        <w:pStyle w:val="null3"/>
        <w:ind w:firstLine="960"/>
      </w:pPr>
      <w:r>
        <w:rPr/>
        <w:t>详见附件：拒绝政府采购领域商业贿赂承诺书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