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版本号：ZHCY-2025-05120250409001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西安市雁塔区漳浒片区（姚家村）回迁选房服务项目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ZHCY-2025-051</w:t>
      </w:r>
      <w:r>
        <w:br/>
      </w:r>
      <w:r>
        <w:br/>
      </w:r>
      <w:r>
        <w:br/>
      </w:r>
    </w:p>
    <w:p>
      <w:pPr>
        <w:pStyle w:val="null3"/>
        <w:jc w:val="center"/>
        <w:outlineLvl w:val="2"/>
      </w:pPr>
      <w:r>
        <w:rPr>
          <w:rFonts w:ascii="仿宋_GB2312" w:hAnsi="仿宋_GB2312" w:cs="仿宋_GB2312" w:eastAsia="仿宋_GB2312"/>
          <w:sz w:val="28"/>
          <w:b/>
        </w:rPr>
        <w:t>西安市雁塔区城中村和棚户区改造事务中心</w:t>
      </w:r>
    </w:p>
    <w:p>
      <w:pPr>
        <w:pStyle w:val="null3"/>
        <w:jc w:val="center"/>
        <w:outlineLvl w:val="2"/>
      </w:pPr>
      <w:r>
        <w:rPr>
          <w:rFonts w:ascii="仿宋_GB2312" w:hAnsi="仿宋_GB2312" w:cs="仿宋_GB2312" w:eastAsia="仿宋_GB2312"/>
          <w:sz w:val="28"/>
          <w:b/>
        </w:rPr>
        <w:t>陕西正浩创盈项目管理有限公司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陕西正浩创盈项目管理有限公司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西安市雁塔区城中村和棚户区改造事务中心</w:t>
      </w:r>
      <w:r>
        <w:rPr>
          <w:rFonts w:ascii="仿宋_GB2312" w:hAnsi="仿宋_GB2312" w:cs="仿宋_GB2312" w:eastAsia="仿宋_GB2312"/>
        </w:rPr>
        <w:t>委托，拟对</w:t>
      </w:r>
      <w:r>
        <w:rPr>
          <w:rFonts w:ascii="仿宋_GB2312" w:hAnsi="仿宋_GB2312" w:cs="仿宋_GB2312" w:eastAsia="仿宋_GB2312"/>
        </w:rPr>
        <w:t>西安市雁塔区漳浒片区（姚家村）回迁选房服务项目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ZHCY-2025-051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西安市雁塔区漳浒片区（姚家村）回迁选房服务项目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漳浒片区(姚家村)回迁选房服务项目，含选房活动策划具体实施、选房系统的使用线上选房过程及结果的公示展示、现场布置、办公用品、设备、场地租赁、选房现场的后勤保障以及安保等。:主要功能或目标:满足;需满足的要求:满足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采购包1（西安市雁塔区漳浒片区（姚家村）回迁选房服务项目）：属于专门面向中小企业采购。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中华人民共和国境内注册，并有效存续的营业执照（含电子营业执照）。：企业资格要求具有独立承担民事责任的能力,企业法人应提供具有统一社会信用代码的营业执照事业单位法人其他组织应提供合法证明文件；若是企业法定代表人参加投标，须出示本人身份证明，若是授权代表参加投标，须出具本人身份证及法定代表人授权委托书；</w:t>
      </w:r>
    </w:p>
    <w:p>
      <w:pPr>
        <w:pStyle w:val="null3"/>
      </w:pPr>
      <w:r>
        <w:rPr>
          <w:rFonts w:ascii="仿宋_GB2312" w:hAnsi="仿宋_GB2312" w:cs="仿宋_GB2312" w:eastAsia="仿宋_GB2312"/>
        </w:rPr>
        <w:t>2、财务状况报告：提供2023年或2024年度审计财务报告或基本存款账户开户银行出具的 资信证明 ；成立时间至提交投标文件截止时间不足一年的可提供成立后任意时段的资产负债表）及基本存款账户开户许可证（基本账户信息证明材料）</w:t>
      </w:r>
    </w:p>
    <w:p>
      <w:pPr>
        <w:pStyle w:val="null3"/>
      </w:pPr>
      <w:r>
        <w:rPr>
          <w:rFonts w:ascii="仿宋_GB2312" w:hAnsi="仿宋_GB2312" w:cs="仿宋_GB2312" w:eastAsia="仿宋_GB2312"/>
        </w:rPr>
        <w:t>3、社会保障资金缴纳证明 ：提供投标前一年内已缴存的至少一个月的社会保障资金缴存单据或社保机构开具的社会保险参保缴费情况证明，依法不需要缴纳社会保障资金的单位应提供相关证明材料；（加盖单位公章）；</w:t>
      </w:r>
    </w:p>
    <w:p>
      <w:pPr>
        <w:pStyle w:val="null3"/>
      </w:pPr>
      <w:r>
        <w:rPr>
          <w:rFonts w:ascii="仿宋_GB2312" w:hAnsi="仿宋_GB2312" w:cs="仿宋_GB2312" w:eastAsia="仿宋_GB2312"/>
        </w:rPr>
        <w:t>4、完税凭证：提供投标截止前一年内任意连续 3 个月缴纳的完税凭证，依法免税的单位应提供相关证明材料（加盖单位公章）；</w:t>
      </w:r>
    </w:p>
    <w:p>
      <w:pPr>
        <w:pStyle w:val="null3"/>
      </w:pPr>
      <w:r>
        <w:rPr>
          <w:rFonts w:ascii="仿宋_GB2312" w:hAnsi="仿宋_GB2312" w:cs="仿宋_GB2312" w:eastAsia="仿宋_GB2312"/>
        </w:rPr>
        <w:t>5、3 年内在经营活动中没有重大违法记录的书面声明： 书面声明：参加政府采购活动前 3 年内在经营活动中没有重大违法记录的书面声明；</w:t>
      </w:r>
    </w:p>
    <w:p>
      <w:pPr>
        <w:pStyle w:val="null3"/>
      </w:pPr>
      <w:r>
        <w:rPr>
          <w:rFonts w:ascii="仿宋_GB2312" w:hAnsi="仿宋_GB2312" w:cs="仿宋_GB2312" w:eastAsia="仿宋_GB2312"/>
        </w:rPr>
        <w:t>6、履行合同必需的设备和专业技术能力的承诺：提供具有履行合同所必需的设备和专业技术能力的承诺；</w:t>
      </w:r>
    </w:p>
    <w:p>
      <w:pPr>
        <w:pStyle w:val="null3"/>
      </w:pPr>
      <w:r>
        <w:rPr>
          <w:rFonts w:ascii="仿宋_GB2312" w:hAnsi="仿宋_GB2312" w:cs="仿宋_GB2312" w:eastAsia="仿宋_GB2312"/>
        </w:rPr>
        <w:t>7、信用截图：供应商不得为“信用中国”网站中列入失信被执行人和重大税收违法案件当事人名单的供应商；不得为中国政府采购网政府采购严重违法失信行为记录名单中被财政部门禁止参加政府采购活动的供应商；（提供查询结果网页截图）（加盖单位公章）</w:t>
      </w:r>
    </w:p>
    <w:p>
      <w:pPr>
        <w:pStyle w:val="null3"/>
      </w:pPr>
      <w:r>
        <w:rPr>
          <w:rFonts w:ascii="仿宋_GB2312" w:hAnsi="仿宋_GB2312" w:cs="仿宋_GB2312" w:eastAsia="仿宋_GB2312"/>
        </w:rPr>
        <w:t>8、控股、管理关系：单位负责人为同一人或者存在直接控股、管理关系的不同供应商，不得参加同一合同下的政府采购活动。</w:t>
      </w:r>
    </w:p>
    <w:p>
      <w:pPr>
        <w:pStyle w:val="null3"/>
      </w:pPr>
      <w:r>
        <w:rPr>
          <w:rFonts w:ascii="仿宋_GB2312" w:hAnsi="仿宋_GB2312" w:cs="仿宋_GB2312" w:eastAsia="仿宋_GB2312"/>
        </w:rPr>
        <w:t>9、不接受联合体投标：本项目不接受联合体投标。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西安市雁塔区城中村和棚户区改造事务中心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02985215595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陕西正浩创盈项目管理有限公司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陕西省西安市长安区神州五路新经济产业园北区5号楼4层4022室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17791799537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成交人在领取《中标通知书》前，须向采购代理机构交纳采购代理服务费及相关费用，采用银行转账方式一次性交纳，不得用投标保证金冲抵。 单位名称：陕西正浩创盈项目管理有限公司(基本户) 纳税人识别号:91610303MA6X98M256 开户行：建设银行西安神舟四路支行 账号：61050111881700000434 开户行号：1057 9101 1516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西安市雁塔区城中村和棚户区改造事务中心</w:t>
      </w:r>
      <w:r>
        <w:rPr>
          <w:rFonts w:ascii="仿宋_GB2312" w:hAnsi="仿宋_GB2312" w:cs="仿宋_GB2312" w:eastAsia="仿宋_GB2312"/>
        </w:rPr>
        <w:t>和</w:t>
      </w:r>
      <w:r>
        <w:rPr>
          <w:rFonts w:ascii="仿宋_GB2312" w:hAnsi="仿宋_GB2312" w:cs="仿宋_GB2312" w:eastAsia="仿宋_GB2312"/>
        </w:rPr>
        <w:t>陕西正浩创盈项目管理有限公司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西安市雁塔区城中村和棚户区改造事务中心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陕西正浩创盈项目管理有限公司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陕西正浩创盈项目管理有限公司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工作要求和质量保证:各项具体工作的质量标准和作业规范，按国家相关标准、规范执行。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联系人：孙杰</w:t>
      </w:r>
    </w:p>
    <w:p>
      <w:pPr>
        <w:pStyle w:val="null3"/>
      </w:pPr>
      <w:r>
        <w:rPr>
          <w:rFonts w:ascii="仿宋_GB2312" w:hAnsi="仿宋_GB2312" w:cs="仿宋_GB2312" w:eastAsia="仿宋_GB2312"/>
        </w:rPr>
        <w:t>联系电话：17791799537</w:t>
      </w:r>
    </w:p>
    <w:p>
      <w:pPr>
        <w:pStyle w:val="null3"/>
      </w:pPr>
      <w:r>
        <w:rPr>
          <w:rFonts w:ascii="仿宋_GB2312" w:hAnsi="仿宋_GB2312" w:cs="仿宋_GB2312" w:eastAsia="仿宋_GB2312"/>
        </w:rPr>
        <w:t>地址：西安市长安区神州五路新经济产业园区5号楼4022室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漳浒片区(姚家村)回迁选房服务项目，含选房活动策划具体实施、选房系统的使用线上选房过程及结果的公示展示、现场布置、办公用品、设备、场地租赁、选房现场的后勤保障以及安保等。:主要功能或目标:满足;需满足的要求:满足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回迁选房服务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标的名称：回迁选房服务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定点宣传：租赁选房场地并在选房场地布置宣传广告展板、空飘</w:t>
            </w:r>
            <w:r>
              <w:rPr>
                <w:rFonts w:ascii="仿宋_GB2312" w:hAnsi="仿宋_GB2312" w:cs="仿宋_GB2312" w:eastAsia="仿宋_GB2312"/>
                <w:sz w:val="20"/>
              </w:rPr>
              <w:t>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0"/>
              </w:rPr>
              <w:t>选房组织并实施：制定选房方案、组织并现场具体实施、场地租赁、选房现场办公家具、办公用品、选房现场内外规划布置、人员组织安排、现场</w:t>
            </w:r>
            <w:r>
              <w:rPr>
                <w:rFonts w:ascii="仿宋_GB2312" w:hAnsi="仿宋_GB2312" w:cs="仿宋_GB2312" w:eastAsia="仿宋_GB2312"/>
                <w:sz w:val="20"/>
              </w:rPr>
              <w:t>影像、选房结果档案（纸质版及电子版）资料的整理、选房过程线上公示展示、公开、透明。</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0"/>
              </w:rPr>
              <w:t>选房现场安保秩序维护、策划服务费、选房期间后勤保障</w:t>
            </w:r>
            <w:r>
              <w:rPr>
                <w:rFonts w:ascii="仿宋_GB2312" w:hAnsi="仿宋_GB2312" w:cs="仿宋_GB2312" w:eastAsia="仿宋_GB2312"/>
                <w:sz w:val="20"/>
              </w:rPr>
              <w:t>(选房期间工作餐、饮用水等保障）。</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0"/>
              </w:rPr>
              <w:t>协助街道办事处组织召开村民代表及村两委会干部回迁大会。</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0"/>
              </w:rPr>
              <w:t>提供选房活动中使用专业的选房软件，根据招标人提供的相关房源、选房人的相关信息，确保前期数据库信息录入的正确性，并根据选房办法，组织到达选房现场有选房资格的选房人依据相应的顺序按序选房，确保选房结果的正确性。</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0"/>
              </w:rPr>
              <w:t>负责</w:t>
            </w:r>
            <w:r>
              <w:rPr>
                <w:rFonts w:ascii="仿宋_GB2312" w:hAnsi="仿宋_GB2312" w:cs="仿宋_GB2312" w:eastAsia="仿宋_GB2312"/>
                <w:sz w:val="20"/>
              </w:rPr>
              <w:t>姚家</w:t>
            </w:r>
            <w:r>
              <w:rPr>
                <w:rFonts w:ascii="仿宋_GB2312" w:hAnsi="仿宋_GB2312" w:cs="仿宋_GB2312" w:eastAsia="仿宋_GB2312"/>
                <w:sz w:val="20"/>
              </w:rPr>
              <w:t>村回迁安置楼看房场地布置及气氛营造。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自采购人发出通知之日起至回迁工作全部结束止。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1.成交供应商按照项目需求完成全部服务内容后，由用户方组织验收。2.验收依据:(1)合同文本;(2)国家有关的验收标准及规范;(3)竞争性磋商文件;(4)磋商响应文件。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甲方在乙方出具最终审核成果文件后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审核成果经区级相关会议审议通过后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成交供应商未全面履行合同义务或者发生违约，采购单位会同采购代理机构有权终止合同，依法向成交供应商进行经济索赔，并报请监督管理机关进行相应的行政处罚。采购单位违约的，应当赔偿给成交供应商造成的经济损失。合同签订和履行过程中，甲乙双方如对合同中相关的事宜发生争议，应本着公驱公正的原则，友好协商解决，协商不成的，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在中华人民共和国境内注册，并有效存续的营业执照（含电子营业执照）。</w:t>
            </w:r>
          </w:p>
        </w:tc>
        <w:tc>
          <w:tcPr>
            <w:tcW w:type="dxa" w:w="3322"/>
          </w:tcPr>
          <w:p>
            <w:pPr>
              <w:pStyle w:val="null3"/>
            </w:pPr>
            <w:r>
              <w:rPr>
                <w:rFonts w:ascii="仿宋_GB2312" w:hAnsi="仿宋_GB2312" w:cs="仿宋_GB2312" w:eastAsia="仿宋_GB2312"/>
              </w:rPr>
              <w:t>企业资格要求具有独立承担民事责任的能力,企业法人应提供具有统一社会信用代码的营业执照事业单位法人其他组织应提供合法证明文件；若是企业法定代表人参加投标，须出示本人身份证明，若是授权代表参加投标，须出具本人身份证及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提供2023年或2024年度审计财务报告或基本存款账户开户银行出具的 资信证明 ；成立时间至提交投标文件截止时间不足一年的可提供成立后任意时段的资产负债表）及基本存款账户开户许可证（基本账户信息证明材料）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提供投标前一年内已缴存的至少一个月的社会保障资金缴存单据或社保机构开具的社会保险参保缴费情况证明，依法不需要缴纳社会保障资金的单位应提供相关证明材料；（加盖单位公章）；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完税凭证</w:t>
            </w:r>
          </w:p>
        </w:tc>
        <w:tc>
          <w:tcPr>
            <w:tcW w:type="dxa" w:w="3322"/>
          </w:tcPr>
          <w:p>
            <w:pPr>
              <w:pStyle w:val="null3"/>
            </w:pPr>
            <w:r>
              <w:rPr>
                <w:rFonts w:ascii="仿宋_GB2312" w:hAnsi="仿宋_GB2312" w:cs="仿宋_GB2312" w:eastAsia="仿宋_GB2312"/>
              </w:rPr>
              <w:t>提供投标截止前一年内任意连续 3 个月缴纳的完税凭证，依法免税的单位应提供相关证明材料（加盖单位公章）；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 年内在经营活动中没有重大违法记录的书面声明</w:t>
            </w:r>
          </w:p>
        </w:tc>
        <w:tc>
          <w:tcPr>
            <w:tcW w:type="dxa" w:w="3322"/>
          </w:tcPr>
          <w:p>
            <w:pPr>
              <w:pStyle w:val="null3"/>
            </w:pPr>
            <w:r>
              <w:rPr>
                <w:rFonts w:ascii="仿宋_GB2312" w:hAnsi="仿宋_GB2312" w:cs="仿宋_GB2312" w:eastAsia="仿宋_GB2312"/>
              </w:rPr>
              <w:t xml:space="preserve"> 书面声明：参加政府采购活动前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提供查询结果网页截图）（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1.提供针对本项目的定点宣传方案，方案专门针对本项目编制，全面、合 理、可行性强得（5-7 分］，方案专门针对本项目编制，较全面、较合理、 可行性较强得（2-4 分］，方案针对本项目编制，全面性、合理性、可行 性均一般得（0-2 分］。 2.提供回迁房选房策划、流程组织方案，方案专门针对本项目编制，全面、 合理、可行性强得（5-7 分］，方案专门针对本项目编制，较全面、较合 理、可行性较强得（2-4 分］，方案针对本项目编制，全面性、合理性、 可行性均一般得（0-2 分］。 3.提供选房现场规划布置、现场组织方案，方案专门针对本项目编制，全 面、合理、可行性强得（5-7 分］，方案专门针对本项目编制，较全面、 较合理、可行性较强得（2-4 分］，方案针对本项目编制，全面性、合理 性、可行性均一般得（0-2 分］。 4.提供过程资料的收集、整理、存档、保存方案，方案专门针对本项目编 制，全面、合理、可行性强得（5-7 分］，方案专门针对本项目编制，较 全面、较合理、可行性较强得（2-4 分］，方案针对本项目编制，全面性、 合理性、可行性均一般得（0-2 分］。 5.提供突发情况的应急处理方案，方案专门针对本项目编制，全面、合理、 可行性强得（5-7 分］，方案专门针对本项目编制，较全面、较合理、可 行性较强得（2-4 分］，方案针对本项目编制，全面性、合理性、可行性 均一般得（0-2 分］。 6、提供服务进度保障方案，方案专门针对本项目编制，全面、合理、可 行性强得（5-7 分］，方案专门针对本项目编制，较全面、较合理、可行 性较强得（2-4 分］，方案针对本项目编制，全面性、合理性、可行性均 一般得（0-2 分］。 7、提供选房现场公证监督方案，方案专门针对本项目编制，全面、 合理、可行性强得（5-7分］，方案专门针对本项目编制，较全面、较合理、可 行性较强得（2-4 分］，方案针对本项目编制，全面性、合理性、可行性 均一般得（0-2 分］。 8、提供分房现场线上公示展示（以图表、图片或 PPT 的格式在投标文件 中展示），方案专门针对本项目编制，全面、合理、可行性强得（4-6 分］， 方案专门针对本项目编制，较全面、较合理、可行性较强得（2-3 分］， 方案针对本项目编制，全面性、合理性、可行性均一般得（0-1 分］。 9.提供活动物料及场地保障措施（包括但不限于物料及场地投入保障措 施、秩序及安全保障措施、软件及公信力保障措施等），方案专门针对本 项目编制，全面、合理、可行性强得（4-5 分］，方案专门针对本项目编 制，较全面、较合理、可行性较强得（2-4 分］，方案针对本项目编制， 全面性、合理性、可行性均一般得（0-2 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拟投入的人员机构设置科学、规范，人员配备数量充足、职责明确、分工 清晰合理得（20-15 分］，拟投入的人员机构设置较科学、规范，人员配备 数量较充足、职责较明确、分工较清晰合理得（14-9分］，拟投入的人员 机构设置一般，人员配备数量较少、职责、分工一般得（8-0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投标人近三年（2021 年 1 月 1 日起至本项目提交投标文件截止时间止，以 合同签订时间为准）具有类似项目业绩，每提供一个合同得 2 分，最高得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价格分统一采用低价优先法计算，即满足投标文件要求且最后报价最低的供应商的价格为投标基准价，其价格分为满分。其他供应商的价格分统一按照下列公式计算： 投标报价得分=(投标基准价／最后投标报价)×10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