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版本号：PLRH2025-GP-007F20250317001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西安市雁塔区第四小学和第九幼儿园建设项目工程结算造价审计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PLRH2025-GP-007F</w:t>
      </w:r>
      <w:r>
        <w:br/>
      </w:r>
      <w:r>
        <w:br/>
      </w:r>
      <w:r>
        <w:br/>
      </w:r>
    </w:p>
    <w:p>
      <w:pPr>
        <w:pStyle w:val="null3"/>
        <w:jc w:val="center"/>
        <w:outlineLvl w:val="2"/>
      </w:pPr>
      <w:r>
        <w:rPr>
          <w:rFonts w:ascii="仿宋_GB2312" w:hAnsi="仿宋_GB2312" w:cs="仿宋_GB2312" w:eastAsia="仿宋_GB2312"/>
          <w:sz w:val="28"/>
          <w:b/>
        </w:rPr>
        <w:t>西安市雁塔区审计局</w:t>
      </w:r>
    </w:p>
    <w:p>
      <w:pPr>
        <w:pStyle w:val="null3"/>
        <w:jc w:val="center"/>
        <w:outlineLvl w:val="2"/>
      </w:pPr>
      <w:r>
        <w:rPr>
          <w:rFonts w:ascii="仿宋_GB2312" w:hAnsi="仿宋_GB2312" w:cs="仿宋_GB2312" w:eastAsia="仿宋_GB2312"/>
          <w:sz w:val="28"/>
          <w:b/>
        </w:rPr>
        <w:t>鹏领睿恒（陕西）项目管理有限公司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鹏领睿恒（陕西）项目管理有限公司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西安市雁塔区审计局</w:t>
      </w:r>
      <w:r>
        <w:rPr>
          <w:rFonts w:ascii="仿宋_GB2312" w:hAnsi="仿宋_GB2312" w:cs="仿宋_GB2312" w:eastAsia="仿宋_GB2312"/>
        </w:rPr>
        <w:t>委托，拟对</w:t>
      </w:r>
      <w:r>
        <w:rPr>
          <w:rFonts w:ascii="仿宋_GB2312" w:hAnsi="仿宋_GB2312" w:cs="仿宋_GB2312" w:eastAsia="仿宋_GB2312"/>
        </w:rPr>
        <w:t>西安市雁塔区第四小学和第九幼儿园建设项目工程结算造价审计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PLRH2025-GP-007F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西安市雁塔区第四小学和第九幼儿园建设项目工程结算造价审计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对政府投资和以政府投资为主的建设项目的预算执行情况和决算，对其他关系国家利益和公共利益的重大公共工程项目的资金管理使用和建设运营情况，进行审计监督。</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采购包1（西安市雁塔区第四小学和第九幼儿园建设项目工程结算造价审计）：属于专门面向中小企业采购。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1、营业执照：具有独立承担民事责任能力的合法注册的法人或其他组织或自然人，提供有效的营业执照或事业单位法人证书或其他，自然人提供其身份证明；</w:t>
      </w:r>
    </w:p>
    <w:p>
      <w:pPr>
        <w:pStyle w:val="null3"/>
      </w:pPr>
      <w:r>
        <w:rPr>
          <w:rFonts w:ascii="仿宋_GB2312" w:hAnsi="仿宋_GB2312" w:cs="仿宋_GB2312" w:eastAsia="仿宋_GB2312"/>
        </w:rPr>
        <w:t>2、法定代表人授权书或法定代表人身份证明：法定代表人授权委托书（附法定代表人身份证复印件及被授权人身份证复印件）； 法定代表人直接参加磋商只须提供法定代表人资格证明书（附法定代表人身份证复印件）； 采购文件凡是法定代表人之处，非法人单位的负责人均参照执行。</w:t>
      </w:r>
    </w:p>
    <w:p>
      <w:pPr>
        <w:pStyle w:val="null3"/>
      </w:pPr>
      <w:r>
        <w:rPr>
          <w:rFonts w:ascii="仿宋_GB2312" w:hAnsi="仿宋_GB2312" w:cs="仿宋_GB2312" w:eastAsia="仿宋_GB2312"/>
        </w:rPr>
        <w:t>3、财务状况报告：财务状况报告：提供2023年度或2024年度经审计的完整财务审计报告。 成立时间至提交响应文件截止时间不足一年的可提供成立后任意时段的资产负债表），或2024年9月1日至今期间银行出具的资信证明（附基本存款账户信息），或财政部门认可的政府采购专业担保机构出具的投标担保函；</w:t>
      </w:r>
    </w:p>
    <w:p>
      <w:pPr>
        <w:pStyle w:val="null3"/>
      </w:pPr>
      <w:r>
        <w:rPr>
          <w:rFonts w:ascii="仿宋_GB2312" w:hAnsi="仿宋_GB2312" w:cs="仿宋_GB2312" w:eastAsia="仿宋_GB2312"/>
        </w:rPr>
        <w:t>4、税收缴纳证明：税收缴纳证明：2024年6月1日至今至少一个月的纳税证明或税务机关开具的完税证明，纳税证明或完税证明上应有代收机构或税务机关的公章或业务专用章，依法免税的单位应提供相关证明材料（除个人所得税）；</w:t>
      </w:r>
    </w:p>
    <w:p>
      <w:pPr>
        <w:pStyle w:val="null3"/>
      </w:pPr>
      <w:r>
        <w:rPr>
          <w:rFonts w:ascii="仿宋_GB2312" w:hAnsi="仿宋_GB2312" w:cs="仿宋_GB2312" w:eastAsia="仿宋_GB2312"/>
        </w:rPr>
        <w:t>5、社会保障资金缴纳证明：社会保障资金缴纳证明：2024年6月1日至今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6、信用查询：信用查询：不得为信用中国网站列入“失信被执行人”； 不得为中国政府采购网列入“政府采购严重违法失信行为记录名单”中的供应商。</w:t>
      </w:r>
    </w:p>
    <w:p>
      <w:pPr>
        <w:pStyle w:val="null3"/>
      </w:pPr>
      <w:r>
        <w:rPr>
          <w:rFonts w:ascii="仿宋_GB2312" w:hAnsi="仿宋_GB2312" w:cs="仿宋_GB2312" w:eastAsia="仿宋_GB2312"/>
        </w:rPr>
        <w:t>7、具有履行本合同所必需的设备和专业技术能力的说明及承诺 ：具有履行本合同所必需的设备和专业技术能力的说明及承诺</w:t>
      </w:r>
    </w:p>
    <w:p>
      <w:pPr>
        <w:pStyle w:val="null3"/>
      </w:pPr>
      <w:r>
        <w:rPr>
          <w:rFonts w:ascii="仿宋_GB2312" w:hAnsi="仿宋_GB2312" w:cs="仿宋_GB2312" w:eastAsia="仿宋_GB2312"/>
        </w:rPr>
        <w:t>8、出具参加本次政府采购活动前三年内在经营活动中没有重大违法记录的书面声明：出具参加本次政府采购活动前三年内在经营活动中没有重大违法记录的书面声明</w:t>
      </w:r>
    </w:p>
    <w:p>
      <w:pPr>
        <w:pStyle w:val="null3"/>
      </w:pPr>
      <w:r>
        <w:rPr>
          <w:rFonts w:ascii="仿宋_GB2312" w:hAnsi="仿宋_GB2312" w:cs="仿宋_GB2312" w:eastAsia="仿宋_GB2312"/>
        </w:rPr>
        <w:t>9、控股情况：单位负责人为同一人或者存在直接控股、管理关系的不同供应商不得参加同一合同项下的政府采购活动。</w:t>
      </w:r>
    </w:p>
    <w:p>
      <w:pPr>
        <w:pStyle w:val="null3"/>
      </w:pPr>
      <w:r>
        <w:rPr>
          <w:rFonts w:ascii="仿宋_GB2312" w:hAnsi="仿宋_GB2312" w:cs="仿宋_GB2312" w:eastAsia="仿宋_GB2312"/>
        </w:rPr>
        <w:t>10、中小企业声明函：提供中小企业声明函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西安市雁塔区审计局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029-85381751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鹏领睿恒（陕西）项目管理有限公司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陕西省西安市未央区元鼎路明丰伯马都A座1707</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029-65656686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代理服务费用收取对象：成交供应商 代理服务费收费标准：参照国家计委颁发的《招标代理服务收费管理暂行办法》（计价格[2002]1980号）、国家发展改革委员会办公厅颁发的《关于招标代理服务收费有关问题的通知》（发改办价格[2003]857号）文件规定及国家发展改革委《关于降低部分建设项目收费标准规范收费行为等有关问题的通知》[2011]534号服务类规定，按照6000元收取。 代理报酬的币种：人民币 汇率：无 代理报酬的支付方式：成交供应商直接支付给招标代理机构。 代理报酬的支付时间：《成交通知书》发出前。 企业名称：鹏领睿恒（陕西）项目管理有限公司 纳税人识别号：91610131MA6TTLM34X 经营地址：陕西省西安市经济开发区元鼎路明丰伯马都A座1707 电话：029-65656686 开户行：招商银行西安枫林绿洲支行 账号：129911262210701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西安市雁塔区审计局</w:t>
      </w:r>
      <w:r>
        <w:rPr>
          <w:rFonts w:ascii="仿宋_GB2312" w:hAnsi="仿宋_GB2312" w:cs="仿宋_GB2312" w:eastAsia="仿宋_GB2312"/>
        </w:rPr>
        <w:t>和</w:t>
      </w:r>
      <w:r>
        <w:rPr>
          <w:rFonts w:ascii="仿宋_GB2312" w:hAnsi="仿宋_GB2312" w:cs="仿宋_GB2312" w:eastAsia="仿宋_GB2312"/>
        </w:rPr>
        <w:t>鹏领睿恒（陕西）项目管理有限公司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西安市雁塔区审计局</w:t>
      </w:r>
      <w:r>
        <w:rPr>
          <w:rFonts w:ascii="仿宋_GB2312" w:hAnsi="仿宋_GB2312" w:cs="仿宋_GB2312" w:eastAsia="仿宋_GB2312"/>
        </w:rPr>
        <w:t>负责解释。除上述磋商文件内容，其他内容由</w:t>
      </w:r>
      <w:r>
        <w:rPr>
          <w:rFonts w:ascii="仿宋_GB2312" w:hAnsi="仿宋_GB2312" w:cs="仿宋_GB2312" w:eastAsia="仿宋_GB2312"/>
        </w:rPr>
        <w:t>鹏领睿恒（陕西）项目管理有限公司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西安市雁塔区审计局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鹏领睿恒（陕西）项目管理有限公司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的验收标准，确认建设工程项目投资的真实性、合法性，保障交付使用资产的真实性、完整性，揭示项目投资建设和管理中存在的问题，评价项目的投资效益，促进项目单位不断总结经验，加强项目管理，保障建设资金合理合法和有效使用。</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联系电话：029-65656686</w:t>
      </w:r>
    </w:p>
    <w:p>
      <w:pPr>
        <w:pStyle w:val="null3"/>
      </w:pPr>
      <w:r>
        <w:rPr>
          <w:rFonts w:ascii="仿宋_GB2312" w:hAnsi="仿宋_GB2312" w:cs="仿宋_GB2312" w:eastAsia="仿宋_GB2312"/>
        </w:rPr>
        <w:t>地址：陕西省西安市未央区元鼎路明丰伯马都A座北1707</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对政府投资和以政府投资为主的建设项目的预算执行情况和决算，对其他关系国家利益和公共利益的重大公共工程项目的资金管理使用和建设运营情况，进行审计监督。</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西安市雁塔区第四小学和第九幼儿园建设项目工程结算造价审计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标的名称：西安市雁塔区第四小学和第九幼儿园建设项目工程结算造价审计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w:t>
            </w:r>
          </w:p>
        </w:tc>
        <w:tc>
          <w:tcPr>
            <w:tcW w:type="dxa" w:w="2076"/>
          </w:tcPr>
          <w:p>
            <w:pPr>
              <w:pStyle w:val="null3"/>
              <w:ind w:firstLine="560"/>
              <w:jc w:val="both"/>
            </w:pPr>
            <w:r>
              <w:rPr>
                <w:rFonts w:ascii="仿宋_GB2312" w:hAnsi="仿宋_GB2312" w:cs="仿宋_GB2312" w:eastAsia="仿宋_GB2312"/>
                <w:sz w:val="28"/>
                <w:shd w:fill="FFFFFF" w:val="clear"/>
              </w:rPr>
              <w:t>1.</w:t>
            </w:r>
            <w:r>
              <w:rPr>
                <w:rFonts w:ascii="仿宋_GB2312" w:hAnsi="仿宋_GB2312" w:cs="仿宋_GB2312" w:eastAsia="仿宋_GB2312"/>
                <w:sz w:val="28"/>
                <w:shd w:fill="FFFFFF" w:val="clear"/>
              </w:rPr>
              <w:t>重点检查该项目竣工决算是否真实合法，交付使用资产是否真实完整，项目建设和管理是否符合法律法规</w:t>
            </w:r>
            <w:r>
              <w:rPr>
                <w:rFonts w:ascii="仿宋_GB2312" w:hAnsi="仿宋_GB2312" w:cs="仿宋_GB2312" w:eastAsia="仿宋_GB2312"/>
                <w:sz w:val="28"/>
                <w:shd w:fill="FFFFFF" w:val="clear"/>
              </w:rPr>
              <w:t>，包括以下内容：</w:t>
            </w:r>
          </w:p>
          <w:p>
            <w:pPr>
              <w:pStyle w:val="null3"/>
              <w:ind w:firstLine="560"/>
              <w:jc w:val="both"/>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1</w:t>
            </w:r>
            <w:r>
              <w:rPr>
                <w:rFonts w:ascii="仿宋_GB2312" w:hAnsi="仿宋_GB2312" w:cs="仿宋_GB2312" w:eastAsia="仿宋_GB2312"/>
                <w:sz w:val="28"/>
                <w:shd w:fill="FFFFFF" w:val="clear"/>
              </w:rPr>
              <w:t>）重大政策贯彻落实</w:t>
            </w:r>
          </w:p>
          <w:p>
            <w:pPr>
              <w:pStyle w:val="null3"/>
              <w:ind w:firstLine="560"/>
              <w:jc w:val="both"/>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2</w:t>
            </w:r>
            <w:r>
              <w:rPr>
                <w:rFonts w:ascii="仿宋_GB2312" w:hAnsi="仿宋_GB2312" w:cs="仿宋_GB2312" w:eastAsia="仿宋_GB2312"/>
                <w:sz w:val="28"/>
                <w:shd w:fill="FFFFFF" w:val="clear"/>
              </w:rPr>
              <w:t>）基本建设程序</w:t>
            </w:r>
          </w:p>
          <w:p>
            <w:pPr>
              <w:pStyle w:val="null3"/>
              <w:ind w:firstLine="560"/>
              <w:jc w:val="both"/>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3）招标投标及合同执行</w:t>
            </w:r>
          </w:p>
          <w:p>
            <w:pPr>
              <w:pStyle w:val="null3"/>
              <w:ind w:firstLine="560"/>
              <w:jc w:val="both"/>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4）质量安全及建设管理</w:t>
            </w:r>
          </w:p>
          <w:p>
            <w:pPr>
              <w:pStyle w:val="null3"/>
              <w:ind w:firstLine="560"/>
              <w:jc w:val="both"/>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5）审查工程结算情况</w:t>
            </w:r>
          </w:p>
          <w:p>
            <w:pPr>
              <w:pStyle w:val="null3"/>
              <w:ind w:firstLine="560"/>
              <w:jc w:val="both"/>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6）竣工决算及财务收支</w:t>
            </w:r>
          </w:p>
          <w:p>
            <w:pPr>
              <w:pStyle w:val="null3"/>
              <w:ind w:firstLine="560"/>
              <w:jc w:val="both"/>
            </w:pPr>
            <w:r>
              <w:rPr>
                <w:rFonts w:ascii="仿宋_GB2312" w:hAnsi="仿宋_GB2312" w:cs="仿宋_GB2312" w:eastAsia="仿宋_GB2312"/>
                <w:sz w:val="28"/>
                <w:shd w:fill="FFFFFF" w:val="clear"/>
              </w:rPr>
              <w:t>2.审计目标</w:t>
            </w:r>
          </w:p>
          <w:p>
            <w:pPr>
              <w:pStyle w:val="null3"/>
              <w:ind w:firstLine="560"/>
              <w:jc w:val="both"/>
            </w:pPr>
            <w:r>
              <w:rPr>
                <w:rFonts w:ascii="仿宋_GB2312" w:hAnsi="仿宋_GB2312" w:cs="仿宋_GB2312" w:eastAsia="仿宋_GB2312"/>
                <w:sz w:val="28"/>
                <w:shd w:fill="FFFFFF" w:val="clear"/>
              </w:rPr>
              <w:t>通过审计，确认建设工程项目投资的真实性、合法性，保障交付使用资产的真实性、完整性，揭示项目投资建设和管理中存在的问题，评价项目的投资效益，促进项目单位不断总结经验，加强项目管理，保障建设资金合理合法和有效使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基本审计服务费： 1.3 ‰ 审减（增）额审计费（成果费率）： 4 ％ 供应商的响应报价高于最高限价的，其响应报价将按无效处理。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自签订合同之日起，至本项目审计完成，出具结算审计报告时止。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依据竞争性磋商文件、磋商响应文件、澄清表（函）、合同内容及附件文本；符合合同签订时国家及行业现行的标准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供应商出具审计报告、审核报告等成果性文件，经采购人复核、验收合格后，根据已完成的工作量按费率据实结算。成交供应商开具等额正规发票后，采购人一次性向乙方支付100%服务费</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1.纸质响应文件要求：请投标供应商在开标前，通过邮寄方式递交响应文件正本壹份、副本壹份，电子文件贰份（纸质文件与线上评审电子文件保持一致） 响应文件应牢固装订成册，不可插页抽页，响应文件采用A4页幅打印、左侧胶装方式装订，装订应牢固、不易拆散和换页。 接收地址： 西安市经济技术开发区元鼎路明丰伯马都A座1707 联系人：王工 联系电话：18182622236 2.磋商报价次数、磋商程序和最终报价的产生原则：本次磋商采用二次报价。 磋商程序为： 1）磋商小组对所有提交的响应文件进行评审； 2）磋商小组所有成员集中与单一供应商分别进行磋商； 3）供应商按照要求提交二次报价； 4）磋商小组评审、推荐成交候选人。在磋商过程中，磋商小组可以根据磋商文件和磋商情况实质性变动采购需求中的技术、服务要求以及合同草案条款，二次报价为最终报价。 3.本项目所属行业 其他未列明行业 从业人员100人及以上的为中型企业；从业人员10人及以上的为小型企业；从业人员10人以下的为微型企业。（具体见《工业和信息化部、国家统计局、国家发展和改革委员会、财政部关于印发中小企业划型标准规定的通知》（工信部联企业〔2011〕300号）） 4.落实政府采购的政策：（1）《财政部司法部关于政府采购支持监狱企业发展有关问题的通知》（财库〔2014〕68号）；（2）《政府采购促进中小企业发展管理办法》（财库〔2020〕46号）；（3）《关于在政府采购活动中查询及使用信用记录有关问题的通知》（财库〔2016〕125号）；（4）《三部门联合发布关于促进残疾人就业政府采购政策的通知》 ( 财库〔2017〕141号）；（5）陕西省财政厅关于印发《陕西省中小企业政府采购信用融资办法》（陕财办采〔2018〕23号）。（6）《陕西省财政厅关于加快推进我省中小企业政府采购信用融资工作的通知》 ( 陕财办采[2020]15号）（7）《陕西省财政厅关于进一步落实政府采购支持中小企业相关政策的通知 》（陕财办采〔2023〕3号）；（8）《财政部关于进一步加大政府采购支持中小企业力度的通知》（财库〔2022〕19号）。如有最新颁布的政府采购政策，按最新的文件执行。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1、具有独立承担民事责任能力的合法注册的法人或其他组织或自然人，提供有效的营业执照或事业单位法人证书或其他，自然人提供其身份证明； 2、税收缴纳证明：2024年6月1日至今至少一个月的纳税证明或税务机关开具的完税证明，纳税证明或完税证明上应有代收机构或税务机关的公章或业务专用章，依法免税的单位应提供相关证明材料（除个人所得税）； 3、社会保障资金缴纳证明：2024年6月1日至今至少一个月的社会保障资金缴存单据或社保机构开具的社会保险参保缴费情况证明，单据或证明上应有社保机构或代收机构的公章或业务专用章，依法不需要缴纳社会保障资金的单位应提供相关证明材料； 4、具有履行本合同所必需的设备和专业技术能力的说明及承诺（提供承诺书）； 5、出具参加本次政府采购活动前三年内在经营活动中没有重大违法记录的书面声明；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财务状况报告：提供2023年度或2024年度经审计的完整财务审计报告。 成立时间至提交响应文件截止时间不足一年的可提供成立后任意时段的资产负债表），或2024年9月1日至今期间银行出具的资信证明（附基本存款账户信息），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残疾人福利性单位声明函 满足政府采购相关优惠政策的声明或者证明材料.docx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落实政府采购政策为</w:t>
            </w:r>
          </w:p>
        </w:tc>
        <w:tc>
          <w:tcPr>
            <w:tcW w:type="dxa" w:w="3322"/>
          </w:tcPr>
          <w:p>
            <w:pPr>
              <w:pStyle w:val="null3"/>
            </w:pPr>
            <w:r>
              <w:rPr>
                <w:rFonts w:ascii="仿宋_GB2312" w:hAnsi="仿宋_GB2312" w:cs="仿宋_GB2312" w:eastAsia="仿宋_GB2312"/>
              </w:rPr>
              <w:t>（1）《财政部司法部关于政府采购支持监狱企业发展有关问题的通知》（财库〔2014〕68号）；（2）《政府采购促进中小企业发展管理办法》（财库〔2020〕46号）；（3）《关于在政府采购活动中查询及使用信用记录有关问题的通知》（财库〔2016〕125号）；（4）《三部门联合发布关于促进残疾人就业政府采购政策的通知》 ( 财库〔2017〕141号）；（5）陕西省财政厅关于印发《陕西省中小企业政府采购信用融资办法》（陕财办采〔2018〕23号）。（6）《陕西省财政厅关于加快推进我省中小企业政府采购信用融资工作的通知》 ( 陕财办采[2020]15号）（7）《陕西省财政厅关于进一步落实政府采购支持中小企业相关政策的通知 》（陕财办采〔2023〕3号）；（8）《财政部关于进一步加大政府采购支持中小企业力度的通知》（财库〔2022〕19号）。如有最新颁布的政府采购政策，按最新的文件执行。</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具有独立承担民事责任能力的合法注册的法人或其他组织或自然人，提供有效的营业执照或事业单位法人证书或其他，自然人提供其身份证明；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 法定代表人直接参加磋商只须提供法定代表人资格证明书（附法定代表人身份证复印件）； 采购文件凡是法定代表人之处，非法人单位的负责人均参照执行。</w:t>
            </w:r>
          </w:p>
        </w:tc>
        <w:tc>
          <w:tcPr>
            <w:tcW w:type="dxa" w:w="1661"/>
          </w:tcPr>
          <w:p>
            <w:pPr>
              <w:pStyle w:val="null3"/>
            </w:pPr>
            <w:r>
              <w:rPr>
                <w:rFonts w:ascii="仿宋_GB2312" w:hAnsi="仿宋_GB2312" w:cs="仿宋_GB2312" w:eastAsia="仿宋_GB2312"/>
              </w:rPr>
              <w:t>供应商基本情况表.docx 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财务状况报告：提供2023年度或2024年度经审计的完整财务审计报告。 成立时间至提交响应文件截止时间不足一年的可提供成立后任意时段的资产负债表），或2024年9月1日至今期间银行出具的资信证明（附基本存款账户信息），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税收缴纳证明：2024年6月1日至今至少一个月的纳税证明或税务机关开具的完税证明，纳税证明或完税证明上应有代收机构或税务机关的公章或业务专用章，依法免税的单位应提供相关证明材料（除个人所得税）；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2024年6月1日至今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信用查询：不得为信用中国网站列入“失信被执行人”； 不得为中国政府采购网列入“政府采购严重违法失信行为记录名单”中的供应商。</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具有履行本合同所必需的设备和专业技术能力的说明及承诺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控股情况</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报价低于市场价，有可能影响产品质量或者不能诚信履约的，磋商小组应当要求其在评审现场30分钟内提供成本构成书面说明，并提交相关证明材料。供应商不能证明其报价合理性的，磋商小组应当将其响应文件作为无效处理。 书面说明应当按照国家财务会计制度的规定要求，逐项就供应商提供的服务的主营业务成本、税金及附加、服务费用、管理费用、财务费用等成本构成事项详细陈述。</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关键内容符合磋商文件要求，不得漏盖漏签</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商务偏离.docx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首次报价唯一且不得高于预算金额及最高限价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采购需求及合同条款响应</w:t>
            </w:r>
          </w:p>
        </w:tc>
        <w:tc>
          <w:tcPr>
            <w:tcW w:type="dxa" w:w="3322"/>
          </w:tcPr>
          <w:p>
            <w:pPr>
              <w:pStyle w:val="null3"/>
            </w:pPr>
            <w:r>
              <w:rPr>
                <w:rFonts w:ascii="仿宋_GB2312" w:hAnsi="仿宋_GB2312" w:cs="仿宋_GB2312" w:eastAsia="仿宋_GB2312"/>
              </w:rPr>
              <w:t>响应磋商文件中采购要求及合同条款内容，合同条款未含有采购人不能接受的附加条件</w:t>
            </w:r>
          </w:p>
        </w:tc>
        <w:tc>
          <w:tcPr>
            <w:tcW w:type="dxa" w:w="1661"/>
          </w:tcPr>
          <w:p>
            <w:pPr>
              <w:pStyle w:val="null3"/>
            </w:pPr>
            <w:r>
              <w:rPr>
                <w:rFonts w:ascii="仿宋_GB2312" w:hAnsi="仿宋_GB2312" w:cs="仿宋_GB2312" w:eastAsia="仿宋_GB2312"/>
              </w:rPr>
              <w:t>商务应答表 服务方案 供应商应提交的相关资格证明材料</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针对本项目提供完整、合理、详细的实施方案，内容包括：①审计服务分析及目标 ②审计流程及工作要点③成果文件编制规范性和标准性的保证措施。 二、评审标准 1.完整性：方案须全面，对评审内容中的各项要求有详细描述及说明； 2.可实施性：切合本项目实际情况，实施步骤清晰、合理； 3.针对性：方案能够紧扣项目实际情况，内容科学合理。 三、赋分标准（满分9分） ①审计服务分析及目标：每完全满足一项评审标准得1分，满分3分； ②审计流程及工作要点：每完全满足一项评审标准得1分，满分3分； ③成果文件编制规范性和标准性的保证措施：每完全满足一项评审标准得1分，满分3分。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技术偏离.docx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提供2022年1月1日至今审计类的业绩证明材料，以供应商提供的合同复印件为准（提供的合同必须包含关键内容及签字盖章页等）；每提供一个符合要求的业绩得2分，未提供或提供的不符合要求不得分，满分10分。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对本项目后续工作进展的全面负责，提出实质性承诺。 售后服务方案完整详细、措施合理、有实质性承诺得4分； 售后服务方案实施性不强得2分；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内控制度</w:t>
            </w:r>
          </w:p>
        </w:tc>
        <w:tc>
          <w:tcPr>
            <w:tcW w:type="dxa" w:w="2492"/>
          </w:tcPr>
          <w:p>
            <w:pPr>
              <w:pStyle w:val="null3"/>
            </w:pPr>
            <w:r>
              <w:rPr>
                <w:rFonts w:ascii="仿宋_GB2312" w:hAnsi="仿宋_GB2312" w:cs="仿宋_GB2312" w:eastAsia="仿宋_GB2312"/>
              </w:rPr>
              <w:t>一、评审内容 针对本项目提供完整、合理、详细的内控制度，内容包含：①人员岗位职责②人员日常管理制度③项目进度控制制度。 二、评审标准 1.完整性：方案须全面，对评审内容中的各项要求有详细描述及说明； 2.可实施性：切合本项目实际情况，实施步骤清晰、合理； 3.针对性：方案能够紧扣项目实际情况，内容科学合理。 三、赋分标准（满分9分） ①人员岗位职责：每完全满足一个评审标准得1分，满分3分； ②人员日常管理制度：每完全满足一个评审标准得1分，满分3分； ③项目进度控制制度：每完全满足一个评审标准得1分，满分3分。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复核机制</w:t>
            </w:r>
          </w:p>
        </w:tc>
        <w:tc>
          <w:tcPr>
            <w:tcW w:type="dxa" w:w="2492"/>
          </w:tcPr>
          <w:p>
            <w:pPr>
              <w:pStyle w:val="null3"/>
            </w:pPr>
            <w:r>
              <w:rPr>
                <w:rFonts w:ascii="仿宋_GB2312" w:hAnsi="仿宋_GB2312" w:cs="仿宋_GB2312" w:eastAsia="仿宋_GB2312"/>
              </w:rPr>
              <w:t>一、评审内容 针对本项目提供完整、合理、详细的复核机制，内容包含：①质量复核流程（三级质量复核）②质量复核机构及各层级复核控制人职责及分工。 二、评审标准 1．完整性：方案须全面，对评审内容中的各项要求有详细描述及说明； 2．可实施性：切合本项目实际情况，实施步骤清晰、合理； 3．针对性：方案能够紧扣项目实际情况，内容科学合理。 三、赋分标准（满分6 分） ①质量复核流程（三级质量复核）：每完全满足一个评审标准得1分，满分3分； ②质量复核机构及各层级复核控制人职责及分工：每完全满足一个评审标准得1分，满分3分。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针对本项目提供完整、合理、详细的保密方案及措施，内容包括：①保密管理制度②具体保密措施。 二、评审标准 1.完整性：方案须全面，对评审内容中的各项要求有详细描述及说明； 2.可实施性：切合本项目实际情况，实施步骤清晰、合理； 3.针对性：方案能够紧扣项目实际情况，内容科学合理。 三、赋分标准（满分6分） ①保密管理制度：每完全满足一个评审标准得1分，满分3分； ②具体保密措施：每完全满足一个评审标准得1分，满分3分。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廉洁从业措施</w:t>
            </w:r>
          </w:p>
        </w:tc>
        <w:tc>
          <w:tcPr>
            <w:tcW w:type="dxa" w:w="2492"/>
          </w:tcPr>
          <w:p>
            <w:pPr>
              <w:pStyle w:val="null3"/>
            </w:pPr>
            <w:r>
              <w:rPr>
                <w:rFonts w:ascii="仿宋_GB2312" w:hAnsi="仿宋_GB2312" w:cs="仿宋_GB2312" w:eastAsia="仿宋_GB2312"/>
              </w:rPr>
              <w:t>一、评审内容 针对本项目提供完整、合理、详细的廉洁从业方案，方案包括：①廉洁从业措施②廉洁从业准则。 二、评审标准 1.完整性：方案须全面，对评审内容中的各项要求有详细描述及说明； 2.可实施性：切合本项目实际情况，实施步骤清晰、合理； 3.针对性：方案能够紧扣项目实际情况，内容科学合理。 三、赋分标准（满分6分） ①廉洁从业措施：每完全满足一个评审标准得1分，满分3分； ②廉洁从业准则：每完全满足一个评审标准得1分，满分3分。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服务承诺和建议</w:t>
            </w:r>
          </w:p>
        </w:tc>
        <w:tc>
          <w:tcPr>
            <w:tcW w:type="dxa" w:w="2492"/>
          </w:tcPr>
          <w:p>
            <w:pPr>
              <w:pStyle w:val="null3"/>
            </w:pPr>
            <w:r>
              <w:rPr>
                <w:rFonts w:ascii="仿宋_GB2312" w:hAnsi="仿宋_GB2312" w:cs="仿宋_GB2312" w:eastAsia="仿宋_GB2312"/>
              </w:rPr>
              <w:t>1、提供接受采购人对本项目服务的考核、监督及管理承诺得1分； 2、提供上岗人员固定性，不随意更换承诺得1分； 3、提供确保服务期限及进度的承诺得1分； 4、针对服务工作中的常见问题进行梳理，向采购人提供良好的解决方案及优化方案，每提供一条得1分，最高得3分。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项目负责人配备</w:t>
            </w:r>
          </w:p>
        </w:tc>
        <w:tc>
          <w:tcPr>
            <w:tcW w:type="dxa" w:w="2492"/>
          </w:tcPr>
          <w:p>
            <w:pPr>
              <w:pStyle w:val="null3"/>
            </w:pPr>
            <w:r>
              <w:rPr>
                <w:rFonts w:ascii="仿宋_GB2312" w:hAnsi="仿宋_GB2312" w:cs="仿宋_GB2312" w:eastAsia="仿宋_GB2312"/>
              </w:rPr>
              <w:t>1.具有注册一级造价工程师土建专业，得3分，否则不得分。 2.项目负责人经验，2020年1月1日至今具有类似审计项目经验，在项目中担任项目负责人的，提供能体现项目负责人姓名及相关信息的证明材料(合同约定负责人或采购人反馈意见或完整的审计报告约定负责人等复印件加盖公章)，每份案例计3分，本项最高得 12 分。 注：项目负责人须提供2024年6月1日至今供应商为其缴纳的至少一个月，社保缴纳证明材料。</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团队配备（含项目负责人）</w:t>
            </w:r>
          </w:p>
        </w:tc>
        <w:tc>
          <w:tcPr>
            <w:tcW w:type="dxa" w:w="2492"/>
          </w:tcPr>
          <w:p>
            <w:pPr>
              <w:pStyle w:val="null3"/>
            </w:pPr>
            <w:r>
              <w:rPr>
                <w:rFonts w:ascii="仿宋_GB2312" w:hAnsi="仿宋_GB2312" w:cs="仿宋_GB2312" w:eastAsia="仿宋_GB2312"/>
              </w:rPr>
              <w:t>1.拟派项目团队人员具备注册一级造价工程师土建专业 4人、安装专业2人，共6人，满足以上条件得6分，不满足不得分； 2.在拟派项目团队6人基础上，每增加1名一级注册造价工程师得2分，本项最高得8分。 注：须提供拟派人员相关证书复印件（身份证、资格证等），并加盖供应商公章为计分依据，不满足不得分。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价格分统一采用低价优先法计算，即满足竞争性磋商文件要求且磋商价格最低的磋商报价为磋商基准价，其价格分为满分。其他供应商的价格分统一按照下列公式计算： 磋商报价得分=(磋商基准价／磋商报价)×15 计算分数时四舍五入取小数点后两位 专门面向中小企业采购的项目或者采购包，不再执行价格评审优惠的扶持政策。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详见附件：商务偏离.docx</w:t>
      </w:r>
    </w:p>
    <w:p>
      <w:pPr>
        <w:pStyle w:val="null3"/>
        <w:ind w:firstLine="960"/>
      </w:pPr>
      <w:r>
        <w:rPr>
          <w:rFonts w:ascii="仿宋_GB2312" w:hAnsi="仿宋_GB2312" w:cs="仿宋_GB2312" w:eastAsia="仿宋_GB2312"/>
        </w:rPr>
        <w:t>详见附件：技术偏离.docx</w:t>
      </w:r>
    </w:p>
    <w:p>
      <w:pPr>
        <w:pStyle w:val="null3"/>
        <w:ind w:firstLine="960"/>
      </w:pPr>
      <w:r>
        <w:rPr>
          <w:rFonts w:ascii="仿宋_GB2312" w:hAnsi="仿宋_GB2312" w:cs="仿宋_GB2312" w:eastAsia="仿宋_GB2312"/>
        </w:rPr>
        <w:t>详见附件：供应商基本情况表.docx</w:t>
      </w:r>
    </w:p>
    <w:p>
      <w:pPr>
        <w:pStyle w:val="null3"/>
        <w:ind w:firstLine="960"/>
      </w:pPr>
      <w:r>
        <w:rPr>
          <w:rFonts w:ascii="仿宋_GB2312" w:hAnsi="仿宋_GB2312" w:cs="仿宋_GB2312" w:eastAsia="仿宋_GB2312"/>
        </w:rPr>
        <w:t>详见附件：磋商一览表.docx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详见附件：满足政府采购相关优惠政策的声明或者证明材料.docx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