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版本号：SZT2025-SN-QC-ZC-FW-008420250303001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智能服务管理平台项目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SZT2025-SN-QC-ZC-FW-0084</w:t>
      </w:r>
      <w:r>
        <w:br/>
      </w:r>
      <w:r>
        <w:br/>
      </w:r>
      <w:r>
        <w:br/>
      </w:r>
    </w:p>
    <w:p>
      <w:pPr>
        <w:pStyle w:val="null3"/>
        <w:jc w:val="center"/>
        <w:outlineLvl w:val="2"/>
      </w:pPr>
      <w:r>
        <w:rPr>
          <w:rFonts w:ascii="仿宋_GB2312" w:hAnsi="仿宋_GB2312" w:cs="仿宋_GB2312" w:eastAsia="仿宋_GB2312"/>
          <w:sz w:val="28"/>
          <w:b/>
        </w:rPr>
        <w:t>西安市雁塔区人民政府办公室</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西安市雁塔区人民政府办公室</w:t>
      </w:r>
      <w:r>
        <w:rPr>
          <w:rFonts w:ascii="仿宋_GB2312" w:hAnsi="仿宋_GB2312" w:cs="仿宋_GB2312" w:eastAsia="仿宋_GB2312"/>
        </w:rPr>
        <w:t>委托，拟对</w:t>
      </w:r>
      <w:r>
        <w:rPr>
          <w:rFonts w:ascii="仿宋_GB2312" w:hAnsi="仿宋_GB2312" w:cs="仿宋_GB2312" w:eastAsia="仿宋_GB2312"/>
        </w:rPr>
        <w:t>智能服务管理平台项目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SZT2025-SN-QC-ZC-FW-0084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智能服务管理平台项目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雁塔区政府办公室项目智能服务管理平台（以下简称“平台”）面向雁塔区政府各相关部门及重点项目企业，旨在提供高效的项目管理和决策支持工具。平台涵盖 19 类项目流程，覆盖全区所有重点项目。平台聚焦高效审批、实时监控、智能预警等核心功能，实现项目全生命周期的精细化管理，助力政府提升工作效率，优化营商环境。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采购包1（智能服务管理平台项目）：属于专门面向中小企业采购。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或法人证明：法定代表人参加的，须提供本人身份证复印件加盖公章并出示身份证原件；法定代表人授权他人参加的，须提供法定代表人委托授权书原件加盖公章，并出示被授权代表的身份证原件及复印件加盖公章；供应商需在项目电子化交易系统中按要求上传相应证明文件并进行电子签章。</w:t>
      </w:r>
    </w:p>
    <w:p>
      <w:pPr>
        <w:pStyle w:val="null3"/>
      </w:pPr>
      <w:r>
        <w:rPr>
          <w:rFonts w:ascii="仿宋_GB2312" w:hAnsi="仿宋_GB2312" w:cs="仿宋_GB2312" w:eastAsia="仿宋_GB2312"/>
        </w:rPr>
        <w:t>2、本项目不接受联合体磋商;：本项目不接受联合体磋商;供应商需在项目电子化交易系统中按要求上传相应证明文件并进行电子签章。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西安市雁塔区人民政府办公室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西安市雁塔区小寨东路168号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029-85381119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王哲、胡婷、李娜、单博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成交供应商应向采购代理机构支付招标代理服务费。招标代理服务费参照《国家计委关于印发&lt;招标代理服务收费管理暂行办法&gt;的通知》（计价格〔2002〕1980号）规定，按规定标准收取。 2、中标/成交单位在领取成交通知书前，须向采购代理机构一次性支付招标代理服务费。招标代理服务费缴存账户： 开户名称：陕西中技招标有限公司 开户行名称：招商银行西安分行营业部 账号：1299 1681 2810 001 转账事由/备注：(编号后四位）项目招标代理服务费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西安市雁塔区人民政府办公室</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西安市雁塔区人民政府办公室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西安市雁塔区人民政府办公室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国家相应的标准和规范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地址：西安市高新区高新四路1号高科广场A座10楼1001室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雁塔区政府办公室项目智能服务管理平台（以下简称“平台”）面向雁塔区政府各相关部门及重点项目企业，旨在提供高效的项目管理和决策支持工具。平台涵盖 19 类项目流程，覆盖全区所有重点项目。平台聚焦高效审批、实时监控、智能预警等核心功能，实现项目全生命周期的精细化管理，助力政府提升工作效率，优化营商环境。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974,000.00</w:t>
      </w:r>
    </w:p>
    <w:p>
      <w:pPr>
        <w:pStyle w:val="null3"/>
      </w:pPr>
      <w:r>
        <w:rPr>
          <w:rFonts w:ascii="仿宋_GB2312" w:hAnsi="仿宋_GB2312" w:cs="仿宋_GB2312" w:eastAsia="仿宋_GB2312"/>
        </w:rPr>
        <w:t>采购包最高限价（元）: 974,000.00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雁塔区政府办公室项目智能服务管理平台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标的名称：雁塔区政府办公室项目智能服务管理平台</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采购需求及内容</w:t>
            </w:r>
          </w:p>
        </w:tc>
        <w:tc>
          <w:tcPr>
            <w:tcW w:type="dxa" w:w="2076"/>
          </w:tcPr>
          <w:p>
            <w:pPr>
              <w:pStyle w:val="null3"/>
              <w:spacing w:before="150" w:after="150"/>
              <w:ind w:firstLine="402"/>
              <w:jc w:val="both"/>
            </w:pPr>
            <w:r>
              <w:rPr>
                <w:rFonts w:ascii="仿宋_GB2312" w:hAnsi="仿宋_GB2312" w:cs="仿宋_GB2312" w:eastAsia="仿宋_GB2312"/>
                <w:sz w:val="20"/>
                <w:b/>
                <w:color w:val="000000"/>
              </w:rPr>
              <w:t>一、</w:t>
            </w:r>
            <w:r>
              <w:rPr>
                <w:rFonts w:ascii="仿宋_GB2312" w:hAnsi="仿宋_GB2312" w:cs="仿宋_GB2312" w:eastAsia="仿宋_GB2312"/>
                <w:sz w:val="20"/>
                <w:b/>
                <w:color w:val="000000"/>
              </w:rPr>
              <w:t>采购内容</w:t>
            </w:r>
          </w:p>
          <w:p>
            <w:pPr>
              <w:pStyle w:val="null3"/>
              <w:numPr>
                <w:ilvl w:val="0"/>
                <w:numId w:val="1"/>
              </w:numPr>
              <w:jc w:val="both"/>
            </w:pPr>
            <w:r>
              <w:rPr>
                <w:rFonts w:ascii="仿宋_GB2312" w:hAnsi="仿宋_GB2312" w:cs="仿宋_GB2312" w:eastAsia="仿宋_GB2312"/>
                <w:sz w:val="20"/>
                <w:b/>
                <w:color w:val="000000"/>
              </w:rPr>
              <w:t>平台概览</w:t>
            </w:r>
          </w:p>
          <w:p>
            <w:pPr>
              <w:pStyle w:val="null3"/>
              <w:ind w:firstLine="388"/>
              <w:jc w:val="both"/>
            </w:pPr>
            <w:r>
              <w:rPr>
                <w:rFonts w:ascii="仿宋_GB2312" w:hAnsi="仿宋_GB2312" w:cs="仿宋_GB2312" w:eastAsia="仿宋_GB2312"/>
                <w:sz w:val="20"/>
                <w:color w:val="000000"/>
              </w:rPr>
              <w:t>雁塔区政府办公室项目智能服务管理平台（以下简称</w:t>
            </w:r>
            <w:r>
              <w:rPr>
                <w:rFonts w:ascii="仿宋_GB2312" w:hAnsi="仿宋_GB2312" w:cs="仿宋_GB2312" w:eastAsia="仿宋_GB2312"/>
                <w:sz w:val="20"/>
                <w:color w:val="000000"/>
              </w:rPr>
              <w:t>“平台”）面向雁塔区政府各相关部门及重点项目企业，旨在提供高效的项目管理和决策支持工具。平台涵盖 19 类项目流程，覆盖全区所有重点项目。平台聚焦高效审批、实时监控、智能预警等核心功能，实现项目全生命周期的精细化管理，助力政府提升工作效率，优化营商环境。</w:t>
            </w:r>
          </w:p>
          <w:p>
            <w:pPr>
              <w:pStyle w:val="null3"/>
              <w:numPr>
                <w:ilvl w:val="0"/>
                <w:numId w:val="1"/>
              </w:numPr>
              <w:jc w:val="both"/>
            </w:pPr>
            <w:r>
              <w:rPr>
                <w:rFonts w:ascii="仿宋_GB2312" w:hAnsi="仿宋_GB2312" w:cs="仿宋_GB2312" w:eastAsia="仿宋_GB2312"/>
                <w:sz w:val="20"/>
                <w:b/>
                <w:color w:val="000000"/>
              </w:rPr>
              <w:t>建设模式</w:t>
            </w:r>
          </w:p>
          <w:p>
            <w:pPr>
              <w:pStyle w:val="null3"/>
              <w:ind w:firstLine="388"/>
              <w:jc w:val="both"/>
            </w:pPr>
            <w:r>
              <w:rPr>
                <w:rFonts w:ascii="仿宋_GB2312" w:hAnsi="仿宋_GB2312" w:cs="仿宋_GB2312" w:eastAsia="仿宋_GB2312"/>
                <w:sz w:val="20"/>
                <w:color w:val="000000"/>
              </w:rPr>
              <w:t>平台需采用</w:t>
            </w:r>
            <w:r>
              <w:rPr>
                <w:rFonts w:ascii="仿宋_GB2312" w:hAnsi="仿宋_GB2312" w:cs="仿宋_GB2312" w:eastAsia="仿宋_GB2312"/>
                <w:sz w:val="20"/>
                <w:color w:val="000000"/>
              </w:rPr>
              <w:t>“</w:t>
            </w:r>
            <w:r>
              <w:rPr>
                <w:rFonts w:ascii="仿宋_GB2312" w:hAnsi="仿宋_GB2312" w:cs="仿宋_GB2312" w:eastAsia="仿宋_GB2312"/>
                <w:sz w:val="20"/>
                <w:color w:val="000000"/>
              </w:rPr>
              <w:t>企业自有</w:t>
            </w:r>
            <w:r>
              <w:rPr>
                <w:rFonts w:ascii="仿宋_GB2312" w:hAnsi="仿宋_GB2312" w:cs="仿宋_GB2312" w:eastAsia="仿宋_GB2312"/>
                <w:sz w:val="20"/>
                <w:color w:val="000000"/>
              </w:rPr>
              <w:t>项目管理平台</w:t>
            </w:r>
            <w:r>
              <w:rPr>
                <w:rFonts w:ascii="仿宋_GB2312" w:hAnsi="仿宋_GB2312" w:cs="仿宋_GB2312" w:eastAsia="仿宋_GB2312"/>
                <w:sz w:val="20"/>
                <w:color w:val="000000"/>
              </w:rPr>
              <w:t>+</w:t>
            </w:r>
            <w:r>
              <w:rPr>
                <w:rFonts w:ascii="仿宋_GB2312" w:hAnsi="仿宋_GB2312" w:cs="仿宋_GB2312" w:eastAsia="仿宋_GB2312"/>
                <w:sz w:val="20"/>
                <w:color w:val="000000"/>
              </w:rPr>
              <w:t>定制化开发</w:t>
            </w:r>
            <w:r>
              <w:rPr>
                <w:rFonts w:ascii="仿宋_GB2312" w:hAnsi="仿宋_GB2312" w:cs="仿宋_GB2312" w:eastAsia="仿宋_GB2312"/>
                <w:sz w:val="20"/>
                <w:color w:val="000000"/>
              </w:rPr>
              <w:t>”的模式进行建设，充分结合自有平台，并针对个性化需求实现定制化开发，以确保平台功能的快速适配和灵活调整。</w:t>
            </w:r>
          </w:p>
          <w:p>
            <w:pPr>
              <w:pStyle w:val="null3"/>
              <w:ind w:firstLine="390"/>
              <w:jc w:val="both"/>
            </w:pPr>
            <w:r>
              <w:rPr>
                <w:rFonts w:ascii="仿宋_GB2312" w:hAnsi="仿宋_GB2312" w:cs="仿宋_GB2312" w:eastAsia="仿宋_GB2312"/>
                <w:sz w:val="20"/>
                <w:b/>
                <w:color w:val="000000"/>
              </w:rPr>
              <w:t>微信小程序端业务功能</w:t>
            </w:r>
            <w:r>
              <w:rPr>
                <w:rFonts w:ascii="仿宋_GB2312" w:hAnsi="仿宋_GB2312" w:cs="仿宋_GB2312" w:eastAsia="仿宋_GB2312"/>
                <w:sz w:val="20"/>
                <w:color w:val="000000"/>
              </w:rPr>
              <w:t>：</w:t>
            </w:r>
            <w:r>
              <w:rPr>
                <w:rFonts w:ascii="仿宋_GB2312" w:hAnsi="仿宋_GB2312" w:cs="仿宋_GB2312" w:eastAsia="仿宋_GB2312"/>
                <w:sz w:val="20"/>
                <w:color w:val="000000"/>
              </w:rPr>
              <w:t>微信小程序端面向政府部门和企业用户，聚焦移动便捷操作、信息透明、精准服务。用户可随时查看流程进展，快速识别堵点问题，提升项目管理精细化水平，为项目推进提供有力支撑。</w:t>
            </w:r>
          </w:p>
          <w:p>
            <w:pPr>
              <w:pStyle w:val="null3"/>
              <w:ind w:firstLine="390"/>
              <w:jc w:val="both"/>
            </w:pPr>
            <w:r>
              <w:rPr>
                <w:rFonts w:ascii="仿宋_GB2312" w:hAnsi="仿宋_GB2312" w:cs="仿宋_GB2312" w:eastAsia="仿宋_GB2312"/>
                <w:sz w:val="20"/>
                <w:b/>
                <w:color w:val="000000"/>
              </w:rPr>
              <w:t>PC端业务功能</w:t>
            </w:r>
            <w:r>
              <w:rPr>
                <w:rFonts w:ascii="仿宋_GB2312" w:hAnsi="仿宋_GB2312" w:cs="仿宋_GB2312" w:eastAsia="仿宋_GB2312"/>
                <w:sz w:val="20"/>
                <w:color w:val="000000"/>
              </w:rPr>
              <w:t>：</w:t>
            </w:r>
            <w:r>
              <w:rPr>
                <w:rFonts w:ascii="仿宋_GB2312" w:hAnsi="仿宋_GB2312" w:cs="仿宋_GB2312" w:eastAsia="仿宋_GB2312"/>
                <w:sz w:val="20"/>
                <w:color w:val="000000"/>
              </w:rPr>
              <w:t>PC端作为平台管理，通过网页构建全流程智能化服务平台。整合全流程数据，优化业务流程，实现项目从立项审批到竣工验收的实时监测、动态管理、高效调度管理。平台以智能化、精准化、精细化为核心，确保审批流程公开透明、规范高效，并强化数据分析，精准定位堵点难点，提供决策支撑。依托信息化手段，助力政府高效履职和企业高质量发展。</w:t>
            </w:r>
          </w:p>
          <w:p>
            <w:pPr>
              <w:pStyle w:val="null3"/>
              <w:spacing w:before="150" w:after="150"/>
              <w:ind w:firstLine="386"/>
              <w:jc w:val="both"/>
            </w:pPr>
            <w:r>
              <w:rPr>
                <w:rFonts w:ascii="仿宋_GB2312" w:hAnsi="仿宋_GB2312" w:cs="仿宋_GB2312" w:eastAsia="仿宋_GB2312"/>
                <w:sz w:val="20"/>
                <w:b/>
                <w:color w:val="000000"/>
              </w:rPr>
              <w:t>二、</w:t>
            </w:r>
            <w:r>
              <w:rPr>
                <w:rFonts w:ascii="仿宋_GB2312" w:hAnsi="仿宋_GB2312" w:cs="仿宋_GB2312" w:eastAsia="仿宋_GB2312"/>
                <w:sz w:val="20"/>
                <w:b/>
                <w:color w:val="000000"/>
              </w:rPr>
              <w:t>平台功能要求</w:t>
            </w:r>
          </w:p>
          <w:p>
            <w:pPr>
              <w:pStyle w:val="null3"/>
              <w:numPr>
                <w:ilvl w:val="0"/>
                <w:numId w:val="1"/>
              </w:numPr>
              <w:jc w:val="both"/>
            </w:pPr>
            <w:r>
              <w:rPr>
                <w:rFonts w:ascii="仿宋_GB2312" w:hAnsi="仿宋_GB2312" w:cs="仿宋_GB2312" w:eastAsia="仿宋_GB2312"/>
                <w:sz w:val="20"/>
                <w:b/>
                <w:color w:val="000000"/>
              </w:rPr>
              <w:t>功能需求</w:t>
            </w:r>
          </w:p>
          <w:p>
            <w:pPr>
              <w:pStyle w:val="null3"/>
              <w:ind w:firstLine="388"/>
              <w:jc w:val="both"/>
            </w:pPr>
            <w:r>
              <w:rPr>
                <w:rFonts w:ascii="仿宋_GB2312" w:hAnsi="仿宋_GB2312" w:cs="仿宋_GB2312" w:eastAsia="仿宋_GB2312"/>
                <w:sz w:val="20"/>
                <w:color w:val="000000"/>
              </w:rPr>
              <w:t>平台主要服务于平台管理员、业务管理员、政府端领导、政府端审批部门及企业用户，需通过流程配置化管理，实现项目审批、执行、跟踪、调度及统计分析的全流程数字化管控。平台需支持灵活配置审批节点、权限管理和数据填报，确保适配多种业务场景。政府端可实时监测项目进展，精准识别堵点，提供高效决策支撑；企业端可便捷跟踪办理进度，全面提升项目管理精细化水平，助力优化营商环境。</w:t>
            </w:r>
          </w:p>
          <w:tbl>
            <w:tblPr>
              <w:tblInd w:type="dxa" w:w="135"/>
              <w:tblBorders>
                <w:top w:val="none" w:color="000000" w:sz="4"/>
                <w:left w:val="none" w:color="000000" w:sz="4"/>
                <w:bottom w:val="none" w:color="000000" w:sz="4"/>
                <w:right w:val="none" w:color="000000" w:sz="4"/>
                <w:insideH w:val="none"/>
                <w:insideV w:val="none"/>
              </w:tblBorders>
            </w:tblPr>
            <w:tblGrid>
              <w:gridCol w:w="175"/>
              <w:gridCol w:w="235"/>
              <w:gridCol w:w="269"/>
              <w:gridCol w:w="311"/>
              <w:gridCol w:w="870"/>
            </w:tblGrid>
            <w:tr>
              <w:tc>
                <w:tcPr>
                  <w:tcW w:type="dxa" w:w="175"/>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235"/>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运行端</w:t>
                  </w:r>
                </w:p>
              </w:tc>
              <w:tc>
                <w:tcPr>
                  <w:tcW w:type="dxa" w:w="269"/>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★模块名称</w:t>
                  </w:r>
                </w:p>
              </w:tc>
              <w:tc>
                <w:tcPr>
                  <w:tcW w:type="dxa" w:w="311"/>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子模块名称</w:t>
                  </w:r>
                </w:p>
              </w:tc>
              <w:tc>
                <w:tcPr>
                  <w:tcW w:type="dxa" w:w="870"/>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建设内容</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1.</w:t>
                  </w:r>
                </w:p>
              </w:tc>
              <w:tc>
                <w:tcPr>
                  <w:tcW w:type="dxa" w:w="2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项目全周期智能服务保障平台</w:t>
                  </w:r>
                  <w:r>
                    <w:rPr>
                      <w:rFonts w:ascii="仿宋_GB2312" w:hAnsi="仿宋_GB2312" w:cs="仿宋_GB2312" w:eastAsia="仿宋_GB2312"/>
                      <w:sz w:val="20"/>
                      <w:color w:val="000000"/>
                    </w:rPr>
                    <w:t>--</w:t>
                  </w:r>
                  <w:r>
                    <w:rPr>
                      <w:rFonts w:ascii="仿宋_GB2312" w:hAnsi="仿宋_GB2312" w:cs="仿宋_GB2312" w:eastAsia="仿宋_GB2312"/>
                      <w:sz w:val="20"/>
                      <w:color w:val="000000"/>
                    </w:rPr>
                    <w:t>微信小程序端</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首页</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首页作为小程序的核心界面，全面汇总并动态展示项目的重要信息，为用户提供直观的项目总览和重点项目分布视图。可查看全流程手续办理图，查看项目总体数据分析报表功能，从项目投资维度、开工情况、项目阶段、建设进度、办理时间、办理事项等维度进行分析。首页还支持交互操作，用户可快速筛选、定位关注的项目详情，进一步提升项目管理的智能化和便捷性，为管理人员提供全面的决策支持工具。</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2.</w:t>
                  </w:r>
                </w:p>
              </w:tc>
              <w:tc>
                <w:tcPr>
                  <w:tcW w:type="dxa" w:w="235"/>
                  <w:vMerge/>
                  <w:tcBorders>
                    <w:top w:val="none" w:color="000000" w:sz="4"/>
                    <w:left w:val="single" w:color="000000" w:sz="4"/>
                    <w:bottom w:val="single" w:color="000000" w:sz="4"/>
                    <w:right w:val="single" w:color="000000" w:sz="4"/>
                  </w:tcBorders>
                </w:tcPr>
                <w:p/>
              </w:tc>
              <w:tc>
                <w:tcPr>
                  <w:tcW w:type="dxa" w:w="2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谋划项目</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谋划项目</w:t>
                  </w:r>
                </w:p>
              </w:tc>
              <w:tc>
                <w:tcPr>
                  <w:tcW w:type="dxa" w:w="8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谋划项目库是对项目前期洽谈规划阶段的管理跟踪，按照项目的不同阶段进行科学分类与分层管理，该功能旨在为各级管理部门提供全面的项目谋划信息支持，涵盖项目的分类、筛选、更新和阶段性管理。</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3.</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项目详情</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4.</w:t>
                  </w:r>
                </w:p>
              </w:tc>
              <w:tc>
                <w:tcPr>
                  <w:tcW w:type="dxa" w:w="235"/>
                  <w:vMerge/>
                  <w:tcBorders>
                    <w:top w:val="none" w:color="000000" w:sz="4"/>
                    <w:left w:val="single" w:color="000000" w:sz="4"/>
                    <w:bottom w:val="single" w:color="000000" w:sz="4"/>
                    <w:right w:val="single" w:color="000000" w:sz="4"/>
                  </w:tcBorders>
                </w:tcPr>
                <w:p/>
              </w:tc>
              <w:tc>
                <w:tcPr>
                  <w:tcW w:type="dxa" w:w="2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项目管理</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项目列表</w:t>
                  </w:r>
                </w:p>
              </w:tc>
              <w:tc>
                <w:tcPr>
                  <w:tcW w:type="dxa" w:w="8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为辖区重点项目建立一套智能化、精准化的项目管理功能，以满足政府高效推进项目建设和实时掌控项目全周期动态的需求。通过小程序端，用户可以全面掌握项目立项、审批、竣工、产权登记等各阶段的进展情况，实现对项目的精细化管理、动态化跟踪以及高效化服务。功能覆盖项目基本信息查询、进展阶段展示、重点事项管理等全流程管理内容，并支持多维度筛选和分类、一项目一流程图的智能生成、单项目分析报表一键生成，从整体情况、办理进度、办理时限等维度进行分析。针对国开行贷款、入库纳统等主流程手续办理工作设置前置清单。关于手续办理可随时查看办理事项的要件清单、责任部门、联系方式等信息。</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5.</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项目详情</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6.</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项目地块</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7.</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项目流程</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8.</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调度清单</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9.</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易堵事项</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10.</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重点事项管理</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11.</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在线视频查看</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12.</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一项目一流程引导图自动生成</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13.</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前置清单</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14.</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单项目分析报表</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15.</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项目统计时效</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16.</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预警管理</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17.</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进度提报审批</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18.</w:t>
                  </w:r>
                </w:p>
              </w:tc>
              <w:tc>
                <w:tcPr>
                  <w:tcW w:type="dxa" w:w="235"/>
                  <w:vMerge/>
                  <w:tcBorders>
                    <w:top w:val="none" w:color="000000" w:sz="4"/>
                    <w:left w:val="single" w:color="000000" w:sz="4"/>
                    <w:bottom w:val="single" w:color="000000" w:sz="4"/>
                    <w:right w:val="single" w:color="000000" w:sz="4"/>
                  </w:tcBorders>
                </w:tcPr>
                <w:p/>
              </w:tc>
              <w:tc>
                <w:tcPr>
                  <w:tcW w:type="dxa" w:w="2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我的</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我的待办</w:t>
                  </w:r>
                </w:p>
              </w:tc>
              <w:tc>
                <w:tcPr>
                  <w:tcW w:type="dxa" w:w="8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“小程序端‘我的’板块”是用户的个人工作与服务管理中心，整合了待办事项处理、在办事项处理、信息查询、帮办代办等多种功能，旨在为用户提供便捷、高效的操作体验。</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19.</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我的消息</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20.</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我的在办</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21.</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我的消息</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22.</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帮办代办</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23.</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线上问需</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24.</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问需记录</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25.</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预约代办</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26.</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版本信息</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27.</w:t>
                  </w:r>
                </w:p>
              </w:tc>
              <w:tc>
                <w:tcPr>
                  <w:tcW w:type="dxa" w:w="2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项目全周期智能服务保障平台</w:t>
                  </w:r>
                  <w:r>
                    <w:rPr>
                      <w:rFonts w:ascii="仿宋_GB2312" w:hAnsi="仿宋_GB2312" w:cs="仿宋_GB2312" w:eastAsia="仿宋_GB2312"/>
                      <w:sz w:val="20"/>
                      <w:color w:val="000000"/>
                    </w:rPr>
                    <w:t>--</w:t>
                  </w:r>
                  <w:r>
                    <w:rPr>
                      <w:rFonts w:ascii="仿宋_GB2312" w:hAnsi="仿宋_GB2312" w:cs="仿宋_GB2312" w:eastAsia="仿宋_GB2312"/>
                      <w:sz w:val="20"/>
                      <w:color w:val="000000"/>
                    </w:rPr>
                    <w:t>PC端(WEB端)</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首页统计</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首页统计模块通过数据可视化手段，为领导、政府各部门和企业用户提供一目了然的开工情况、项目阶段、建设进度、办理时间、办理事项等统计图表，直观展示项目的整体运行情况、重点项目分布及投资领域等核心数据。</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28.</w:t>
                  </w:r>
                </w:p>
              </w:tc>
              <w:tc>
                <w:tcPr>
                  <w:tcW w:type="dxa" w:w="235"/>
                  <w:vMerge/>
                  <w:tcBorders>
                    <w:top w:val="none" w:color="000000" w:sz="4"/>
                    <w:left w:val="single" w:color="000000" w:sz="4"/>
                    <w:bottom w:val="single" w:color="000000" w:sz="4"/>
                    <w:right w:val="single" w:color="000000" w:sz="4"/>
                  </w:tcBorders>
                </w:tcP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谋划项目</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谋划项目</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谋划项目库是对项目前期洽谈规划阶段的管理跟踪，按照项目的不同阶段进行科学分类与分层管理，该功能旨在为各级管理部门提供全面的项目谋划信息支持，涵盖项目的分类、筛选、更新和阶段性管理。</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29.</w:t>
                  </w:r>
                </w:p>
              </w:tc>
              <w:tc>
                <w:tcPr>
                  <w:tcW w:type="dxa" w:w="235"/>
                  <w:vMerge/>
                  <w:tcBorders>
                    <w:top w:val="none" w:color="000000" w:sz="4"/>
                    <w:left w:val="single" w:color="000000" w:sz="4"/>
                    <w:bottom w:val="single" w:color="000000" w:sz="4"/>
                    <w:right w:val="single" w:color="000000" w:sz="4"/>
                  </w:tcBorders>
                </w:tcPr>
                <w:p/>
              </w:tc>
              <w:tc>
                <w:tcPr>
                  <w:tcW w:type="dxa" w:w="2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项目卡片</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项目管理</w:t>
                  </w:r>
                </w:p>
              </w:tc>
              <w:tc>
                <w:tcPr>
                  <w:tcW w:type="dxa" w:w="8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项目卡片模块通过全面整合和展示每个项目的基础信息、地块划分、专班配置、关联企业及项目档案，构建系统化的数字化项目档案管理平台。该功能旨在为办理部门和企业用户提供精准、高效的项目全生命周期管理工具。</w:t>
                  </w:r>
                </w:p>
                <w:p>
                  <w:pPr>
                    <w:pStyle w:val="null3"/>
                    <w:ind w:firstLine="400"/>
                    <w:jc w:val="left"/>
                  </w:pPr>
                  <w:r>
                    <w:rPr>
                      <w:rFonts w:ascii="仿宋_GB2312" w:hAnsi="仿宋_GB2312" w:cs="仿宋_GB2312" w:eastAsia="仿宋_GB2312"/>
                      <w:sz w:val="20"/>
                      <w:color w:val="000000"/>
                    </w:rPr>
                    <w:t>每个项目可以针对性自动生成项目导引图。可随时查看项目现场监控视频。</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30.</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地块管理</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31.</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项目流程</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32.</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调度功能</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33.</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超期管理</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34.</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重点事项管理</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35.</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在线视频</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36.</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预审批清单</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37.</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一项目一台张管理</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38.</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一项目一流程引导图</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39.</w:t>
                  </w:r>
                </w:p>
              </w:tc>
              <w:tc>
                <w:tcPr>
                  <w:tcW w:type="dxa" w:w="235"/>
                  <w:vMerge/>
                  <w:tcBorders>
                    <w:top w:val="none" w:color="000000" w:sz="4"/>
                    <w:left w:val="single" w:color="000000" w:sz="4"/>
                    <w:bottom w:val="single" w:color="000000" w:sz="4"/>
                    <w:right w:val="single" w:color="000000" w:sz="4"/>
                  </w:tcBorders>
                </w:tcP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项目跟踪</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流程跟踪功能通过对项目审批及实施过程中的关键环节进行实时监控和动态展示，为各部门及企业用户提供全过程的透明化、精细化管理工具。该功能围绕项目的审批流转、执行节点、完成状态等信息，构建了高效的可视化管理平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40.</w:t>
                  </w:r>
                </w:p>
              </w:tc>
              <w:tc>
                <w:tcPr>
                  <w:tcW w:type="dxa" w:w="235"/>
                  <w:vMerge/>
                  <w:tcBorders>
                    <w:top w:val="none" w:color="000000" w:sz="4"/>
                    <w:left w:val="single" w:color="000000" w:sz="4"/>
                    <w:bottom w:val="single" w:color="000000" w:sz="4"/>
                    <w:right w:val="single" w:color="000000" w:sz="4"/>
                  </w:tcBorders>
                </w:tcP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统计分析</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统计分析功能旨在通过数据汇总、分析和可视化呈现，为领导、各部门提供全面、准确的项目信息及运行数据支持。通过智能化的数据处理和深度分析，帮助领导实时了解项目进展、流程执行效率以及各类指标的动态变化，提升决策支持能力。</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41.</w:t>
                  </w:r>
                </w:p>
              </w:tc>
              <w:tc>
                <w:tcPr>
                  <w:tcW w:type="dxa" w:w="235"/>
                  <w:vMerge/>
                  <w:tcBorders>
                    <w:top w:val="none" w:color="000000" w:sz="4"/>
                    <w:left w:val="single" w:color="000000" w:sz="4"/>
                    <w:bottom w:val="single" w:color="000000" w:sz="4"/>
                    <w:right w:val="single" w:color="000000" w:sz="4"/>
                  </w:tcBorders>
                </w:tcPr>
                <w:p/>
              </w:tc>
              <w:tc>
                <w:tcPr>
                  <w:tcW w:type="dxa" w:w="2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基础数据</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项目类型管理</w:t>
                  </w:r>
                </w:p>
              </w:tc>
              <w:tc>
                <w:tcPr>
                  <w:tcW w:type="dxa" w:w="8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基础数据模块旨在为项目管理提供稳定、规范的数据支撑，确保各类数据的准确性、统一性和可追溯性。通过对项目分类、行业信息、建设单位、专项小组及成员、法定假期、敏感词等基础数据的管理与维护，确保项目数据在平台中的规范性。</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42.</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责任专班配置</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43.</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相关数据字典配置</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44.</w:t>
                  </w:r>
                </w:p>
              </w:tc>
              <w:tc>
                <w:tcPr>
                  <w:tcW w:type="dxa" w:w="235"/>
                  <w:vMerge/>
                  <w:tcBorders>
                    <w:top w:val="none" w:color="000000" w:sz="4"/>
                    <w:left w:val="single" w:color="000000" w:sz="4"/>
                    <w:bottom w:val="single" w:color="000000" w:sz="4"/>
                    <w:right w:val="single" w:color="000000" w:sz="4"/>
                  </w:tcBorders>
                </w:tcPr>
                <w:p/>
              </w:tc>
              <w:tc>
                <w:tcPr>
                  <w:tcW w:type="dxa" w:w="2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流程配置</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项目流程配置</w:t>
                  </w:r>
                </w:p>
              </w:tc>
              <w:tc>
                <w:tcPr>
                  <w:tcW w:type="dxa" w:w="8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流程配置模块旨在为用户提供灵活的项目审批流程配置工具。通过该功能，用户可以根据不同项目的特点及需求，自定义和调整项目审批的各个环节、审批部门、流程步骤等内容。平台支持全流程管理，使项目审批流程更加透明、高效，并能实现精细化管理和优化。适用于复杂的多层级、多部门的审批流程。</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45.</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流程处理配置</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46.</w:t>
                  </w:r>
                </w:p>
              </w:tc>
              <w:tc>
                <w:tcPr>
                  <w:tcW w:type="dxa" w:w="235"/>
                  <w:vMerge/>
                  <w:tcBorders>
                    <w:top w:val="none" w:color="000000" w:sz="4"/>
                    <w:left w:val="single" w:color="000000" w:sz="4"/>
                    <w:bottom w:val="single" w:color="000000" w:sz="4"/>
                    <w:right w:val="single" w:color="000000" w:sz="4"/>
                  </w:tcBorders>
                </w:tcPr>
                <w:p/>
              </w:tc>
              <w:tc>
                <w:tcPr>
                  <w:tcW w:type="dxa" w:w="2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帮办代办</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线上问需</w:t>
                  </w:r>
                </w:p>
              </w:tc>
              <w:tc>
                <w:tcPr>
                  <w:tcW w:type="dxa" w:w="8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帮办代办模块旨在为企业用户和项目负责人提供全方位的服务支持，确保项目在审批、实施过程中遇到的各类问题能得到及时处理和高效解决。通过该功能，用户可以通过线上进行问题咨询、需求提交，并预约代办服务。</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47.</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预约代办</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48.</w:t>
                  </w:r>
                </w:p>
              </w:tc>
              <w:tc>
                <w:tcPr>
                  <w:tcW w:type="dxa" w:w="235"/>
                  <w:vMerge/>
                  <w:tcBorders>
                    <w:top w:val="none" w:color="000000" w:sz="4"/>
                    <w:left w:val="single" w:color="000000" w:sz="4"/>
                    <w:bottom w:val="single" w:color="000000" w:sz="4"/>
                    <w:right w:val="single" w:color="000000" w:sz="4"/>
                  </w:tcBorders>
                </w:tcPr>
                <w:p/>
              </w:tc>
              <w:tc>
                <w:tcPr>
                  <w:tcW w:type="dxa" w:w="2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超期管理</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超期项目</w:t>
                  </w:r>
                </w:p>
              </w:tc>
              <w:tc>
                <w:tcPr>
                  <w:tcW w:type="dxa" w:w="8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超期管理模块旨在通过实时监控项目进度，及时识别和预警超期风险，帮助政府部门对项目、地块、事项进行精准管理和决策支持。该功能通过监控项目、事项的进度，快速识别超期情况和潜在的堵点风险，提供实时预警，确保各项工作按计划推进。通过数据可视化和智能分析，帮助领导掌握整体项目状态。</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49.</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超期事项</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50.</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临期事项</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51.</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堵点事项</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52.</w:t>
                  </w:r>
                </w:p>
              </w:tc>
              <w:tc>
                <w:tcPr>
                  <w:tcW w:type="dxa" w:w="235"/>
                  <w:vMerge/>
                  <w:tcBorders>
                    <w:top w:val="none" w:color="000000" w:sz="4"/>
                    <w:left w:val="single" w:color="000000" w:sz="4"/>
                    <w:bottom w:val="single" w:color="000000" w:sz="4"/>
                    <w:right w:val="single" w:color="000000" w:sz="4"/>
                  </w:tcBorders>
                </w:tcPr>
                <w:p/>
              </w:tc>
              <w:tc>
                <w:tcPr>
                  <w:tcW w:type="dxa" w:w="2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事项管理</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待办提醒</w:t>
                  </w:r>
                </w:p>
              </w:tc>
              <w:tc>
                <w:tcPr>
                  <w:tcW w:type="dxa" w:w="8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事项管理模块通过构建实时监控和智能预警机制，对项目进度中的关键环节提供及时提醒和预警。该模块旨在提升事项管理的时效性和精准性，通过临期、超期以及堵点问题的动态提醒，协助各级责任人及时处理问题、优化流程。</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53.</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在办管理</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54.</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临期提醒</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55.</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超期提醒</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56.</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堵点提醒</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57.</w:t>
                  </w:r>
                </w:p>
              </w:tc>
              <w:tc>
                <w:tcPr>
                  <w:tcW w:type="dxa" w:w="235"/>
                  <w:vMerge/>
                  <w:tcBorders>
                    <w:top w:val="none" w:color="000000" w:sz="4"/>
                    <w:left w:val="single" w:color="000000" w:sz="4"/>
                    <w:bottom w:val="single" w:color="000000" w:sz="4"/>
                    <w:right w:val="single" w:color="000000" w:sz="4"/>
                  </w:tcBorders>
                </w:tcPr>
                <w:p/>
              </w:tc>
              <w:tc>
                <w:tcPr>
                  <w:tcW w:type="dxa" w:w="2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系统</w:t>
                  </w:r>
                  <w:r>
                    <w:rPr>
                      <w:rFonts w:ascii="仿宋_GB2312" w:hAnsi="仿宋_GB2312" w:cs="仿宋_GB2312" w:eastAsia="仿宋_GB2312"/>
                      <w:sz w:val="20"/>
                      <w:color w:val="000000"/>
                    </w:rPr>
                    <w:t>管理</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用户管理</w:t>
                  </w:r>
                </w:p>
              </w:tc>
              <w:tc>
                <w:tcPr>
                  <w:tcW w:type="dxa" w:w="8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系统管理模块是保障平台安全运行和高效运作的重要基础功能，围绕用户管理、权限控制、系统配置和操作日志等核心需求，构建全方位的管理体系。该模块通过分级权限管理、敏感数据保护、日志审计和系统配置优化，确保系统的安全性、稳定性和合规性。</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58.</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角色管理</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59.</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菜单管理</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60.</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部门管理</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61.</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岗位管理</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62.</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日志管理</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63.</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字典管理</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64.</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敏感词管理</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color w:val="000000"/>
                    </w:rPr>
                    <w:t>65.</w:t>
                  </w:r>
                </w:p>
              </w:tc>
              <w:tc>
                <w:tcPr>
                  <w:tcW w:type="dxa" w:w="235"/>
                  <w:vMerge/>
                  <w:tcBorders>
                    <w:top w:val="none" w:color="000000" w:sz="4"/>
                    <w:left w:val="single" w:color="000000" w:sz="4"/>
                    <w:bottom w:val="single" w:color="000000" w:sz="4"/>
                    <w:right w:val="single" w:color="000000" w:sz="4"/>
                  </w:tcBorders>
                </w:tcPr>
                <w:p/>
              </w:tc>
              <w:tc>
                <w:tcPr>
                  <w:tcW w:type="dxa" w:w="269"/>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法定假期管理</w:t>
                  </w:r>
                </w:p>
              </w:tc>
              <w:tc>
                <w:tcPr>
                  <w:tcW w:type="dxa" w:w="870"/>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66.</w:t>
                  </w:r>
                </w:p>
                <w:p>
                  <w:pPr>
                    <w:pStyle w:val="null3"/>
                    <w:jc w:val="center"/>
                  </w:pP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第三方平台对接</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视频监控</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通过现有视频平台接入各个项目现场监控视频，实时查看项目监控视频</w:t>
                  </w:r>
                </w:p>
              </w:tc>
            </w:tr>
          </w:tbl>
          <w:p>
            <w:pPr>
              <w:pStyle w:val="null3"/>
              <w:ind w:firstLine="400"/>
              <w:jc w:val="both"/>
            </w:pPr>
            <w:r>
              <w:rPr>
                <w:rFonts w:ascii="仿宋_GB2312" w:hAnsi="仿宋_GB2312" w:cs="仿宋_GB2312" w:eastAsia="仿宋_GB2312"/>
                <w:sz w:val="20"/>
                <w:color w:val="000000"/>
              </w:rPr>
              <w:t>（注：带</w:t>
            </w:r>
            <w:r>
              <w:rPr>
                <w:rFonts w:ascii="仿宋_GB2312" w:hAnsi="仿宋_GB2312" w:cs="仿宋_GB2312" w:eastAsia="仿宋_GB2312"/>
                <w:sz w:val="20"/>
                <w:color w:val="000000"/>
              </w:rPr>
              <w:t>“★</w:t>
            </w:r>
            <w:r>
              <w:rPr>
                <w:rFonts w:ascii="仿宋_GB2312" w:hAnsi="仿宋_GB2312" w:cs="仿宋_GB2312" w:eastAsia="仿宋_GB2312"/>
                <w:sz w:val="20"/>
                <w:color w:val="000000"/>
              </w:rPr>
              <w:t>模块名称</w:t>
            </w:r>
            <w:r>
              <w:rPr>
                <w:rFonts w:ascii="仿宋_GB2312" w:hAnsi="仿宋_GB2312" w:cs="仿宋_GB2312" w:eastAsia="仿宋_GB2312"/>
                <w:sz w:val="20"/>
                <w:color w:val="000000"/>
              </w:rPr>
              <w:t>”的为实质性要求，供应商</w:t>
            </w:r>
            <w:r>
              <w:rPr>
                <w:rFonts w:ascii="仿宋_GB2312" w:hAnsi="仿宋_GB2312" w:cs="仿宋_GB2312" w:eastAsia="仿宋_GB2312"/>
                <w:sz w:val="20"/>
                <w:color w:val="000000"/>
              </w:rPr>
              <w:t>提供的方案内容</w:t>
            </w:r>
            <w:r>
              <w:rPr>
                <w:rFonts w:ascii="仿宋_GB2312" w:hAnsi="仿宋_GB2312" w:cs="仿宋_GB2312" w:eastAsia="仿宋_GB2312"/>
                <w:sz w:val="20"/>
                <w:color w:val="000000"/>
              </w:rPr>
              <w:t>必须</w:t>
            </w:r>
            <w:r>
              <w:rPr>
                <w:rFonts w:ascii="仿宋_GB2312" w:hAnsi="仿宋_GB2312" w:cs="仿宋_GB2312" w:eastAsia="仿宋_GB2312"/>
                <w:sz w:val="20"/>
                <w:color w:val="000000"/>
              </w:rPr>
              <w:t>包含，缺少或未提供为未实质性响应磋商文件要求为无效投标</w:t>
            </w:r>
            <w:r>
              <w:rPr>
                <w:rFonts w:ascii="仿宋_GB2312" w:hAnsi="仿宋_GB2312" w:cs="仿宋_GB2312" w:eastAsia="仿宋_GB2312"/>
                <w:sz w:val="20"/>
                <w:color w:val="000000"/>
              </w:rPr>
              <w:t>。</w:t>
            </w:r>
            <w:r>
              <w:rPr>
                <w:rFonts w:ascii="仿宋_GB2312" w:hAnsi="仿宋_GB2312" w:cs="仿宋_GB2312" w:eastAsia="仿宋_GB2312"/>
                <w:sz w:val="20"/>
                <w:color w:val="000000"/>
              </w:rPr>
              <w:t>建设内容</w:t>
            </w:r>
            <w:r>
              <w:rPr>
                <w:rFonts w:ascii="仿宋_GB2312" w:hAnsi="仿宋_GB2312" w:cs="仿宋_GB2312" w:eastAsia="仿宋_GB2312"/>
                <w:sz w:val="20"/>
                <w:color w:val="000000"/>
              </w:rPr>
              <w:t>条款为允许偏离的参数需求。）</w:t>
            </w:r>
          </w:p>
          <w:p>
            <w:pPr>
              <w:pStyle w:val="null3"/>
              <w:numPr>
                <w:ilvl w:val="0"/>
                <w:numId w:val="1"/>
              </w:numPr>
              <w:jc w:val="both"/>
            </w:pPr>
            <w:r>
              <w:rPr>
                <w:rFonts w:ascii="仿宋_GB2312" w:hAnsi="仿宋_GB2312" w:cs="仿宋_GB2312" w:eastAsia="仿宋_GB2312"/>
                <w:sz w:val="20"/>
                <w:b/>
                <w:color w:val="000000"/>
              </w:rPr>
              <w:t>建设期</w:t>
            </w:r>
          </w:p>
          <w:p>
            <w:pPr>
              <w:pStyle w:val="null3"/>
              <w:ind w:firstLine="388"/>
              <w:jc w:val="both"/>
            </w:pPr>
            <w:r>
              <w:rPr>
                <w:rFonts w:ascii="仿宋_GB2312" w:hAnsi="仿宋_GB2312" w:cs="仿宋_GB2312" w:eastAsia="仿宋_GB2312"/>
                <w:sz w:val="20"/>
                <w:color w:val="000000"/>
              </w:rPr>
              <w:t>平台建设周期要求</w:t>
            </w:r>
            <w:r>
              <w:rPr>
                <w:rFonts w:ascii="仿宋_GB2312" w:hAnsi="仿宋_GB2312" w:cs="仿宋_GB2312" w:eastAsia="仿宋_GB2312"/>
                <w:sz w:val="20"/>
                <w:color w:val="000000"/>
              </w:rPr>
              <w:t>8周完成正式上线，其中4周完成功能开发，并达到试运行投产条件；试运行阶段4周。试运行通过后，项目单位对项目进行整体验收，若验收通过则进入正式上线阶段。</w:t>
            </w:r>
            <w:r>
              <w:rPr>
                <w:rFonts w:ascii="仿宋_GB2312" w:hAnsi="仿宋_GB2312" w:cs="仿宋_GB2312" w:eastAsia="仿宋_GB2312"/>
                <w:sz w:val="20"/>
                <w:color w:val="000000"/>
              </w:rPr>
              <w:t>自</w:t>
            </w:r>
            <w:r>
              <w:rPr>
                <w:rFonts w:ascii="仿宋_GB2312" w:hAnsi="仿宋_GB2312" w:cs="仿宋_GB2312" w:eastAsia="仿宋_GB2312"/>
                <w:sz w:val="20"/>
                <w:color w:val="000000"/>
              </w:rPr>
              <w:t>验收合格之</w:t>
            </w:r>
            <w:r>
              <w:rPr>
                <w:rFonts w:ascii="仿宋_GB2312" w:hAnsi="仿宋_GB2312" w:cs="仿宋_GB2312" w:eastAsia="仿宋_GB2312"/>
                <w:sz w:val="20"/>
                <w:color w:val="000000"/>
              </w:rPr>
              <w:t>日起，提供</w:t>
            </w:r>
            <w:r>
              <w:rPr>
                <w:rFonts w:ascii="仿宋_GB2312" w:hAnsi="仿宋_GB2312" w:cs="仿宋_GB2312" w:eastAsia="仿宋_GB2312"/>
                <w:sz w:val="20"/>
                <w:color w:val="000000"/>
              </w:rPr>
              <w:t>24</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个月运维服务</w:t>
            </w:r>
            <w:r>
              <w:rPr>
                <w:rFonts w:ascii="仿宋_GB2312" w:hAnsi="仿宋_GB2312" w:cs="仿宋_GB2312" w:eastAsia="仿宋_GB2312"/>
                <w:sz w:val="20"/>
                <w:color w:val="000000"/>
              </w:rPr>
              <w:t>，</w:t>
            </w:r>
            <w:r>
              <w:rPr>
                <w:rFonts w:ascii="仿宋_GB2312" w:hAnsi="仿宋_GB2312" w:cs="仿宋_GB2312" w:eastAsia="仿宋_GB2312"/>
                <w:sz w:val="20"/>
                <w:color w:val="000000"/>
              </w:rPr>
              <w:t>运维服务费用包含在本次采购预算当中</w:t>
            </w:r>
            <w:r>
              <w:rPr>
                <w:rFonts w:ascii="仿宋_GB2312" w:hAnsi="仿宋_GB2312" w:cs="仿宋_GB2312" w:eastAsia="仿宋_GB2312"/>
                <w:sz w:val="20"/>
                <w:color w:val="000000"/>
              </w:rPr>
              <w:t>，</w:t>
            </w:r>
            <w:r>
              <w:rPr>
                <w:rFonts w:ascii="仿宋_GB2312" w:hAnsi="仿宋_GB2312" w:cs="仿宋_GB2312" w:eastAsia="仿宋_GB2312"/>
                <w:sz w:val="20"/>
                <w:color w:val="000000"/>
              </w:rPr>
              <w:t>内容</w:t>
            </w:r>
            <w:r>
              <w:rPr>
                <w:rFonts w:ascii="仿宋_GB2312" w:hAnsi="仿宋_GB2312" w:cs="仿宋_GB2312" w:eastAsia="仿宋_GB2312"/>
                <w:sz w:val="20"/>
                <w:color w:val="000000"/>
              </w:rPr>
              <w:t>涵盖平台日常运维、故障排查</w:t>
            </w:r>
            <w:r>
              <w:rPr>
                <w:rFonts w:ascii="仿宋_GB2312" w:hAnsi="仿宋_GB2312" w:cs="仿宋_GB2312" w:eastAsia="仿宋_GB2312"/>
                <w:sz w:val="20"/>
                <w:color w:val="000000"/>
              </w:rPr>
              <w:t>、功能完善</w:t>
            </w:r>
            <w:r>
              <w:rPr>
                <w:rFonts w:ascii="仿宋_GB2312" w:hAnsi="仿宋_GB2312" w:cs="仿宋_GB2312" w:eastAsia="仿宋_GB2312"/>
                <w:sz w:val="20"/>
                <w:color w:val="000000"/>
              </w:rPr>
              <w:t>及技术支持，保障平台的持续稳定运行。</w:t>
            </w:r>
          </w:p>
          <w:p>
            <w:pPr>
              <w:pStyle w:val="null3"/>
              <w:spacing w:before="150" w:after="150"/>
              <w:ind w:firstLine="386"/>
              <w:jc w:val="both"/>
            </w:pPr>
            <w:r>
              <w:rPr>
                <w:rFonts w:ascii="仿宋_GB2312" w:hAnsi="仿宋_GB2312" w:cs="仿宋_GB2312" w:eastAsia="仿宋_GB2312"/>
                <w:sz w:val="20"/>
                <w:b/>
                <w:color w:val="000000"/>
              </w:rPr>
              <w:t>三、</w:t>
            </w:r>
            <w:r>
              <w:rPr>
                <w:rFonts w:ascii="仿宋_GB2312" w:hAnsi="仿宋_GB2312" w:cs="仿宋_GB2312" w:eastAsia="仿宋_GB2312"/>
                <w:sz w:val="20"/>
                <w:b/>
                <w:color w:val="000000"/>
              </w:rPr>
              <w:t>平台技术要求</w:t>
            </w:r>
          </w:p>
          <w:p>
            <w:pPr>
              <w:pStyle w:val="null3"/>
              <w:numPr>
                <w:ilvl w:val="0"/>
                <w:numId w:val="1"/>
              </w:numPr>
              <w:jc w:val="both"/>
            </w:pPr>
            <w:r>
              <w:rPr>
                <w:rFonts w:ascii="仿宋_GB2312" w:hAnsi="仿宋_GB2312" w:cs="仿宋_GB2312" w:eastAsia="仿宋_GB2312"/>
                <w:sz w:val="20"/>
                <w:b/>
                <w:color w:val="000000"/>
              </w:rPr>
              <w:t>开发环境要求</w:t>
            </w:r>
          </w:p>
          <w:p>
            <w:pPr>
              <w:pStyle w:val="null3"/>
              <w:ind w:firstLine="400"/>
              <w:jc w:val="both"/>
            </w:pPr>
            <w:r>
              <w:rPr>
                <w:rFonts w:ascii="仿宋_GB2312" w:hAnsi="仿宋_GB2312" w:cs="仿宋_GB2312" w:eastAsia="仿宋_GB2312"/>
                <w:sz w:val="20"/>
                <w:color w:val="000000"/>
              </w:rPr>
              <w:t>平台需采用前后端分离架构，</w:t>
            </w:r>
            <w:r>
              <w:rPr>
                <w:rFonts w:ascii="仿宋_GB2312" w:hAnsi="仿宋_GB2312" w:cs="仿宋_GB2312" w:eastAsia="仿宋_GB2312"/>
                <w:sz w:val="20"/>
                <w:color w:val="000000"/>
              </w:rPr>
              <w:t>后端开发语言</w:t>
            </w:r>
            <w:r>
              <w:rPr>
                <w:rFonts w:ascii="仿宋_GB2312" w:hAnsi="仿宋_GB2312" w:cs="仿宋_GB2312" w:eastAsia="仿宋_GB2312"/>
                <w:sz w:val="20"/>
                <w:color w:val="000000"/>
              </w:rPr>
              <w:t>为</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Java，</w:t>
            </w:r>
            <w:r>
              <w:rPr>
                <w:rFonts w:ascii="仿宋_GB2312" w:hAnsi="仿宋_GB2312" w:cs="仿宋_GB2312" w:eastAsia="仿宋_GB2312"/>
                <w:sz w:val="20"/>
                <w:color w:val="000000"/>
              </w:rPr>
              <w:t>并支持微服务架构，以满足业务灵活扩展和高并发处理需求。前后端及移动端应通过标准对接方式（如</w:t>
            </w:r>
            <w:r>
              <w:rPr>
                <w:rFonts w:ascii="仿宋_GB2312" w:hAnsi="仿宋_GB2312" w:cs="仿宋_GB2312" w:eastAsia="仿宋_GB2312"/>
                <w:sz w:val="20"/>
                <w:color w:val="000000"/>
              </w:rPr>
              <w:t>WEBAPI、WEBSERVER、中间表等形式 ）进行数据交互，确保数据传输的安全性、稳定性和实时性。数据库须支持国产化数据库（高斯、达梦、人大金仓等国产数据库），并支持分布式部署，以确保数据一致性、高可用性及安全可控。同时，平台架构需符合政府信息化建设规范，具备良好的可扩展性，为后续业务拓展和平台升级提供有力支撑。</w:t>
            </w:r>
          </w:p>
          <w:p>
            <w:pPr>
              <w:pStyle w:val="null3"/>
              <w:numPr>
                <w:ilvl w:val="0"/>
                <w:numId w:val="1"/>
              </w:numPr>
              <w:jc w:val="both"/>
            </w:pPr>
            <w:r>
              <w:rPr>
                <w:rFonts w:ascii="仿宋_GB2312" w:hAnsi="仿宋_GB2312" w:cs="仿宋_GB2312" w:eastAsia="仿宋_GB2312"/>
                <w:sz w:val="20"/>
                <w:b/>
                <w:color w:val="000000"/>
              </w:rPr>
              <w:t>正式环境要求</w:t>
            </w:r>
          </w:p>
          <w:p>
            <w:pPr>
              <w:pStyle w:val="null3"/>
              <w:ind w:firstLine="402"/>
              <w:jc w:val="both"/>
            </w:pPr>
            <w:r>
              <w:rPr>
                <w:rFonts w:ascii="仿宋_GB2312" w:hAnsi="仿宋_GB2312" w:cs="仿宋_GB2312" w:eastAsia="仿宋_GB2312"/>
                <w:sz w:val="20"/>
                <w:b/>
                <w:color w:val="000000"/>
              </w:rPr>
              <w:t>服务器环境：</w:t>
            </w:r>
            <w:r>
              <w:rPr>
                <w:rFonts w:ascii="仿宋_GB2312" w:hAnsi="仿宋_GB2312" w:cs="仿宋_GB2312" w:eastAsia="仿宋_GB2312"/>
                <w:sz w:val="20"/>
                <w:color w:val="000000"/>
              </w:rPr>
              <w:t>支持银河麒麟、</w:t>
            </w:r>
            <w:r>
              <w:rPr>
                <w:rFonts w:ascii="仿宋_GB2312" w:hAnsi="仿宋_GB2312" w:cs="仿宋_GB2312" w:eastAsia="仿宋_GB2312"/>
                <w:sz w:val="20"/>
                <w:color w:val="000000"/>
              </w:rPr>
              <w:t>UOS等国产操作系统。</w:t>
            </w:r>
          </w:p>
          <w:p>
            <w:pPr>
              <w:pStyle w:val="null3"/>
              <w:ind w:firstLine="402"/>
              <w:jc w:val="both"/>
            </w:pPr>
            <w:r>
              <w:rPr>
                <w:rFonts w:ascii="仿宋_GB2312" w:hAnsi="仿宋_GB2312" w:cs="仿宋_GB2312" w:eastAsia="仿宋_GB2312"/>
                <w:sz w:val="20"/>
                <w:b/>
                <w:color w:val="000000"/>
              </w:rPr>
              <w:t>中间件支持：</w:t>
            </w:r>
            <w:r>
              <w:rPr>
                <w:rFonts w:ascii="仿宋_GB2312" w:hAnsi="仿宋_GB2312" w:cs="仿宋_GB2312" w:eastAsia="仿宋_GB2312"/>
                <w:sz w:val="20"/>
                <w:color w:val="000000"/>
              </w:rPr>
              <w:t>Nginx作为反向代理，支持Redis进行缓存优化，提高平台访问效率。</w:t>
            </w:r>
          </w:p>
          <w:p>
            <w:pPr>
              <w:pStyle w:val="null3"/>
              <w:ind w:firstLine="402"/>
              <w:jc w:val="both"/>
            </w:pPr>
            <w:r>
              <w:rPr>
                <w:rFonts w:ascii="仿宋_GB2312" w:hAnsi="仿宋_GB2312" w:cs="仿宋_GB2312" w:eastAsia="仿宋_GB2312"/>
                <w:sz w:val="20"/>
                <w:b/>
                <w:color w:val="000000"/>
              </w:rPr>
              <w:t>安全性要求：</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HTTPS访问，确保数据传输安全，符合国家网络安全要求。</w:t>
            </w:r>
          </w:p>
          <w:p>
            <w:pPr>
              <w:pStyle w:val="null3"/>
              <w:ind w:firstLine="402"/>
              <w:jc w:val="both"/>
            </w:pPr>
            <w:r>
              <w:rPr>
                <w:rFonts w:ascii="仿宋_GB2312" w:hAnsi="仿宋_GB2312" w:cs="仿宋_GB2312" w:eastAsia="仿宋_GB2312"/>
                <w:sz w:val="20"/>
                <w:b/>
                <w:color w:val="000000"/>
              </w:rPr>
              <w:t>中标企业</w:t>
            </w:r>
            <w:r>
              <w:rPr>
                <w:rFonts w:ascii="仿宋_GB2312" w:hAnsi="仿宋_GB2312" w:cs="仿宋_GB2312" w:eastAsia="仿宋_GB2312"/>
                <w:sz w:val="20"/>
                <w:b/>
                <w:color w:val="000000"/>
              </w:rPr>
              <w:t>需完成</w:t>
            </w:r>
            <w:r>
              <w:rPr>
                <w:rFonts w:ascii="仿宋_GB2312" w:hAnsi="仿宋_GB2312" w:cs="仿宋_GB2312" w:eastAsia="仿宋_GB2312"/>
                <w:sz w:val="20"/>
                <w:b/>
                <w:color w:val="000000"/>
              </w:rPr>
              <w:t>对系统平台向西安市政务云、各厂家云平台布设及迁移。</w:t>
            </w:r>
          </w:p>
          <w:p>
            <w:pPr>
              <w:pStyle w:val="null3"/>
              <w:numPr>
                <w:ilvl w:val="0"/>
                <w:numId w:val="1"/>
              </w:numPr>
              <w:jc w:val="both"/>
            </w:pPr>
            <w:r>
              <w:rPr>
                <w:rFonts w:ascii="仿宋_GB2312" w:hAnsi="仿宋_GB2312" w:cs="仿宋_GB2312" w:eastAsia="仿宋_GB2312"/>
                <w:sz w:val="20"/>
                <w:b/>
                <w:color w:val="000000"/>
              </w:rPr>
              <w:t>平台运行响应要求</w:t>
            </w:r>
          </w:p>
          <w:p>
            <w:pPr>
              <w:pStyle w:val="null3"/>
              <w:ind w:firstLine="372"/>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在长期稳定运行状态下，业务应用系统资源占用量稳定，无突发性增长，</w:t>
            </w:r>
            <w:r>
              <w:rPr>
                <w:rFonts w:ascii="仿宋_GB2312" w:hAnsi="仿宋_GB2312" w:cs="仿宋_GB2312" w:eastAsia="仿宋_GB2312"/>
                <w:sz w:val="20"/>
                <w:color w:val="000000"/>
              </w:rPr>
              <w:t>无慢、卡、顿现象。</w:t>
            </w:r>
          </w:p>
          <w:p>
            <w:pPr>
              <w:pStyle w:val="null3"/>
              <w:ind w:firstLine="372"/>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业务应用支持高可用部署，无单点故障。支持故障自愈。支持通过日志、</w:t>
            </w:r>
            <w:r>
              <w:rPr>
                <w:rFonts w:ascii="仿宋_GB2312" w:hAnsi="仿宋_GB2312" w:cs="仿宋_GB2312" w:eastAsia="仿宋_GB2312"/>
                <w:sz w:val="20"/>
                <w:color w:val="000000"/>
              </w:rPr>
              <w:t>告警记录故障信息。</w:t>
            </w:r>
          </w:p>
          <w:p>
            <w:pPr>
              <w:pStyle w:val="null3"/>
              <w:ind w:firstLine="372"/>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允许进行多用户操作，且其性能指数隔离，即一个用户的操作不能因为其性能降低影响到另一个用户，不能形成死锁行为</w:t>
            </w:r>
            <w:r>
              <w:rPr>
                <w:rFonts w:ascii="仿宋_GB2312" w:hAnsi="仿宋_GB2312" w:cs="仿宋_GB2312" w:eastAsia="仿宋_GB2312"/>
                <w:sz w:val="20"/>
                <w:color w:val="000000"/>
              </w:rPr>
              <w:t>;</w:t>
            </w:r>
          </w:p>
          <w:p>
            <w:pPr>
              <w:pStyle w:val="null3"/>
              <w:ind w:firstLine="372"/>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协作过程中，所有数据均为即时数据，不会形成时间差数据。</w:t>
            </w:r>
          </w:p>
          <w:p>
            <w:pPr>
              <w:pStyle w:val="null3"/>
              <w:ind w:firstLine="372"/>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需要硬件冗余、数据库集群、应用服务器集群，</w:t>
            </w:r>
            <w:r>
              <w:rPr>
                <w:rFonts w:ascii="仿宋_GB2312" w:hAnsi="仿宋_GB2312" w:cs="仿宋_GB2312" w:eastAsia="仿宋_GB2312"/>
                <w:sz w:val="20"/>
                <w:color w:val="000000"/>
              </w:rPr>
              <w:t>Web服务器集群等一项或多项冗余提高可靠性。</w:t>
            </w:r>
          </w:p>
          <w:p>
            <w:pPr>
              <w:pStyle w:val="null3"/>
              <w:ind w:firstLine="372"/>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系统健壮性，具有在一定恶劣环境（例如符合业务量评估的大数据量、大用户量）下在预定的时间内能持续正常提供服务。</w:t>
            </w:r>
          </w:p>
          <w:p>
            <w:pPr>
              <w:pStyle w:val="null3"/>
              <w:ind w:firstLine="372"/>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为了支持核心业务的正常办理，平台需提供服务降级或服务限流能力。</w:t>
            </w:r>
          </w:p>
          <w:p>
            <w:pPr>
              <w:pStyle w:val="null3"/>
              <w:ind w:firstLine="372"/>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系统服务时间为</w:t>
            </w:r>
            <w:r>
              <w:rPr>
                <w:rFonts w:ascii="仿宋_GB2312" w:hAnsi="仿宋_GB2312" w:cs="仿宋_GB2312" w:eastAsia="仿宋_GB2312"/>
                <w:sz w:val="20"/>
                <w:color w:val="000000"/>
              </w:rPr>
              <w:t>7*24 小时。</w:t>
            </w:r>
          </w:p>
          <w:p>
            <w:pPr>
              <w:pStyle w:val="null3"/>
              <w:ind w:firstLine="372"/>
              <w:jc w:val="both"/>
            </w:pPr>
            <w:r>
              <w:rPr>
                <w:rFonts w:ascii="仿宋_GB2312" w:hAnsi="仿宋_GB2312" w:cs="仿宋_GB2312" w:eastAsia="仿宋_GB2312"/>
                <w:sz w:val="20"/>
                <w:color w:val="000000"/>
              </w:rPr>
              <w:t>9.</w:t>
            </w:r>
            <w:r>
              <w:rPr>
                <w:rFonts w:ascii="仿宋_GB2312" w:hAnsi="仿宋_GB2312" w:cs="仿宋_GB2312" w:eastAsia="仿宋_GB2312"/>
                <w:sz w:val="20"/>
                <w:color w:val="000000"/>
              </w:rPr>
              <w:t>系统可用性指标</w:t>
            </w:r>
            <w:r>
              <w:rPr>
                <w:rFonts w:ascii="仿宋_GB2312" w:hAnsi="仿宋_GB2312" w:cs="仿宋_GB2312" w:eastAsia="仿宋_GB2312"/>
                <w:sz w:val="20"/>
                <w:color w:val="000000"/>
              </w:rPr>
              <w:t>≥99.9%。</w:t>
            </w:r>
          </w:p>
          <w:p>
            <w:pPr>
              <w:pStyle w:val="null3"/>
              <w:ind w:firstLine="372"/>
              <w:jc w:val="both"/>
            </w:pPr>
            <w:r>
              <w:rPr>
                <w:rFonts w:ascii="仿宋_GB2312" w:hAnsi="仿宋_GB2312" w:cs="仿宋_GB2312" w:eastAsia="仿宋_GB2312"/>
                <w:sz w:val="20"/>
                <w:color w:val="000000"/>
              </w:rPr>
              <w:t>10.</w:t>
            </w:r>
            <w:r>
              <w:rPr>
                <w:rFonts w:ascii="仿宋_GB2312" w:hAnsi="仿宋_GB2312" w:cs="仿宋_GB2312" w:eastAsia="仿宋_GB2312"/>
                <w:sz w:val="20"/>
                <w:color w:val="000000"/>
              </w:rPr>
              <w:t>平均故障修复时间</w:t>
            </w:r>
            <w:r>
              <w:rPr>
                <w:rFonts w:ascii="仿宋_GB2312" w:hAnsi="仿宋_GB2312" w:cs="仿宋_GB2312" w:eastAsia="仿宋_GB2312"/>
                <w:sz w:val="20"/>
                <w:color w:val="000000"/>
              </w:rPr>
              <w:t>≤2 小时；</w:t>
            </w:r>
          </w:p>
          <w:p>
            <w:pPr>
              <w:pStyle w:val="null3"/>
              <w:ind w:firstLine="372"/>
              <w:jc w:val="both"/>
            </w:pPr>
            <w:r>
              <w:rPr>
                <w:rFonts w:ascii="仿宋_GB2312" w:hAnsi="仿宋_GB2312" w:cs="仿宋_GB2312" w:eastAsia="仿宋_GB2312"/>
                <w:sz w:val="20"/>
                <w:color w:val="000000"/>
              </w:rPr>
              <w:t>11.系统响应时间：</w:t>
            </w:r>
            <w:r>
              <w:rPr>
                <w:rFonts w:ascii="仿宋_GB2312" w:hAnsi="仿宋_GB2312" w:cs="仿宋_GB2312" w:eastAsia="仿宋_GB2312"/>
                <w:sz w:val="20"/>
                <w:color w:val="000000"/>
              </w:rPr>
              <w:t>≤0.</w:t>
            </w:r>
            <w:r>
              <w:rPr>
                <w:rFonts w:ascii="仿宋_GB2312" w:hAnsi="仿宋_GB2312" w:cs="仿宋_GB2312" w:eastAsia="仿宋_GB2312"/>
                <w:sz w:val="20"/>
                <w:color w:val="000000"/>
              </w:rPr>
              <w:t>3</w:t>
            </w:r>
            <w:r>
              <w:rPr>
                <w:rFonts w:ascii="仿宋_GB2312" w:hAnsi="仿宋_GB2312" w:cs="仿宋_GB2312" w:eastAsia="仿宋_GB2312"/>
                <w:sz w:val="20"/>
                <w:color w:val="000000"/>
              </w:rPr>
              <w:t>秒；</w:t>
            </w:r>
          </w:p>
          <w:p>
            <w:pPr>
              <w:pStyle w:val="null3"/>
              <w:ind w:firstLine="372"/>
              <w:jc w:val="both"/>
            </w:pPr>
            <w:r>
              <w:rPr>
                <w:rFonts w:ascii="仿宋_GB2312" w:hAnsi="仿宋_GB2312" w:cs="仿宋_GB2312" w:eastAsia="仿宋_GB2312"/>
                <w:sz w:val="20"/>
                <w:color w:val="000000"/>
              </w:rPr>
              <w:t>12.</w:t>
            </w:r>
            <w:r>
              <w:rPr>
                <w:rFonts w:ascii="仿宋_GB2312" w:hAnsi="仿宋_GB2312" w:cs="仿宋_GB2312" w:eastAsia="仿宋_GB2312"/>
                <w:sz w:val="20"/>
                <w:color w:val="000000"/>
              </w:rPr>
              <w:t>系统并发要求：至少支持</w:t>
            </w:r>
            <w:r>
              <w:rPr>
                <w:rFonts w:ascii="仿宋_GB2312" w:hAnsi="仿宋_GB2312" w:cs="仿宋_GB2312" w:eastAsia="仿宋_GB2312"/>
                <w:sz w:val="20"/>
                <w:color w:val="000000"/>
              </w:rPr>
              <w:t>300的并发量级。</w:t>
            </w:r>
          </w:p>
          <w:p>
            <w:pPr>
              <w:pStyle w:val="null3"/>
              <w:ind w:firstLine="372"/>
              <w:jc w:val="both"/>
            </w:pPr>
            <w:r>
              <w:rPr>
                <w:rFonts w:ascii="仿宋_GB2312" w:hAnsi="仿宋_GB2312" w:cs="仿宋_GB2312" w:eastAsia="仿宋_GB2312"/>
                <w:sz w:val="20"/>
                <w:color w:val="000000"/>
              </w:rPr>
              <w:t>13.</w:t>
            </w:r>
            <w:r>
              <w:rPr>
                <w:rFonts w:ascii="仿宋_GB2312" w:hAnsi="仿宋_GB2312" w:cs="仿宋_GB2312" w:eastAsia="仿宋_GB2312"/>
                <w:sz w:val="20"/>
                <w:color w:val="000000"/>
              </w:rPr>
              <w:t>页面响应时间</w:t>
            </w:r>
            <w:r>
              <w:rPr>
                <w:rFonts w:ascii="仿宋_GB2312" w:hAnsi="仿宋_GB2312" w:cs="仿宋_GB2312" w:eastAsia="仿宋_GB2312"/>
                <w:sz w:val="20"/>
                <w:color w:val="000000"/>
              </w:rPr>
              <w:t>≤0.</w:t>
            </w:r>
            <w:r>
              <w:rPr>
                <w:rFonts w:ascii="仿宋_GB2312" w:hAnsi="仿宋_GB2312" w:cs="仿宋_GB2312" w:eastAsia="仿宋_GB2312"/>
                <w:sz w:val="20"/>
                <w:color w:val="000000"/>
              </w:rPr>
              <w:t>3</w:t>
            </w:r>
            <w:r>
              <w:rPr>
                <w:rFonts w:ascii="仿宋_GB2312" w:hAnsi="仿宋_GB2312" w:cs="仿宋_GB2312" w:eastAsia="仿宋_GB2312"/>
                <w:sz w:val="20"/>
                <w:color w:val="000000"/>
              </w:rPr>
              <w:t>秒。</w:t>
            </w:r>
          </w:p>
          <w:p>
            <w:pPr>
              <w:pStyle w:val="null3"/>
              <w:ind w:firstLine="372"/>
              <w:jc w:val="both"/>
            </w:pPr>
            <w:r>
              <w:rPr>
                <w:rFonts w:ascii="仿宋_GB2312" w:hAnsi="仿宋_GB2312" w:cs="仿宋_GB2312" w:eastAsia="仿宋_GB2312"/>
                <w:sz w:val="20"/>
                <w:color w:val="000000"/>
              </w:rPr>
              <w:t>14.</w:t>
            </w:r>
            <w:r>
              <w:rPr>
                <w:rFonts w:ascii="仿宋_GB2312" w:hAnsi="仿宋_GB2312" w:cs="仿宋_GB2312" w:eastAsia="仿宋_GB2312"/>
                <w:sz w:val="20"/>
                <w:color w:val="000000"/>
              </w:rPr>
              <w:t>一般统计响应时间</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秒。</w:t>
            </w:r>
          </w:p>
          <w:p>
            <w:pPr>
              <w:pStyle w:val="null3"/>
              <w:ind w:firstLine="372"/>
              <w:jc w:val="both"/>
            </w:pPr>
            <w:r>
              <w:rPr>
                <w:rFonts w:ascii="仿宋_GB2312" w:hAnsi="仿宋_GB2312" w:cs="仿宋_GB2312" w:eastAsia="仿宋_GB2312"/>
                <w:sz w:val="20"/>
                <w:color w:val="000000"/>
              </w:rPr>
              <w:t>15.</w:t>
            </w:r>
            <w:r>
              <w:rPr>
                <w:rFonts w:ascii="仿宋_GB2312" w:hAnsi="仿宋_GB2312" w:cs="仿宋_GB2312" w:eastAsia="仿宋_GB2312"/>
                <w:sz w:val="20"/>
                <w:color w:val="000000"/>
              </w:rPr>
              <w:t>支持系统每秒处理业务请求数量</w:t>
            </w:r>
            <w:r>
              <w:rPr>
                <w:rFonts w:ascii="仿宋_GB2312" w:hAnsi="仿宋_GB2312" w:cs="仿宋_GB2312" w:eastAsia="仿宋_GB2312"/>
                <w:sz w:val="20"/>
                <w:color w:val="000000"/>
              </w:rPr>
              <w:t>≥100 个。</w:t>
            </w:r>
          </w:p>
          <w:p>
            <w:pPr>
              <w:pStyle w:val="null3"/>
              <w:numPr>
                <w:ilvl w:val="0"/>
                <w:numId w:val="1"/>
              </w:numPr>
              <w:jc w:val="both"/>
            </w:pPr>
            <w:r>
              <w:rPr>
                <w:rFonts w:ascii="仿宋_GB2312" w:hAnsi="仿宋_GB2312" w:cs="仿宋_GB2312" w:eastAsia="仿宋_GB2312"/>
                <w:sz w:val="20"/>
                <w:b/>
                <w:color w:val="000000"/>
              </w:rPr>
              <w:t>安全性要求</w:t>
            </w:r>
          </w:p>
          <w:p>
            <w:pPr>
              <w:pStyle w:val="null3"/>
              <w:ind w:firstLine="388"/>
              <w:jc w:val="both"/>
            </w:pPr>
            <w:r>
              <w:rPr>
                <w:rFonts w:ascii="仿宋_GB2312" w:hAnsi="仿宋_GB2312" w:cs="仿宋_GB2312" w:eastAsia="仿宋_GB2312"/>
                <w:sz w:val="20"/>
                <w:color w:val="000000"/>
              </w:rPr>
              <w:t>供应商按照等级保护</w:t>
            </w:r>
            <w:r>
              <w:rPr>
                <w:rFonts w:ascii="仿宋_GB2312" w:hAnsi="仿宋_GB2312" w:cs="仿宋_GB2312" w:eastAsia="仿宋_GB2312"/>
                <w:sz w:val="20"/>
                <w:color w:val="000000"/>
              </w:rPr>
              <w:t>2.0标准要求，完成雁塔区政府办公室项目智能服务管理平台的定级，确保雁塔区项目智能服务管理平台满足等级保护测评并拿到等保二级证书，完成备案工作，并出具测评报告，测评主体为中标公司。</w:t>
            </w:r>
          </w:p>
          <w:p>
            <w:pPr>
              <w:pStyle w:val="null3"/>
              <w:numPr>
                <w:ilvl w:val="0"/>
                <w:numId w:val="1"/>
              </w:numPr>
              <w:jc w:val="both"/>
            </w:pPr>
            <w:r>
              <w:rPr>
                <w:rFonts w:ascii="仿宋_GB2312" w:hAnsi="仿宋_GB2312" w:cs="仿宋_GB2312" w:eastAsia="仿宋_GB2312"/>
                <w:sz w:val="20"/>
                <w:b/>
                <w:color w:val="000000"/>
              </w:rPr>
              <w:t>兼容性要求</w:t>
            </w:r>
          </w:p>
          <w:p>
            <w:pPr>
              <w:pStyle w:val="null3"/>
              <w:ind w:firstLine="402"/>
              <w:jc w:val="both"/>
            </w:pPr>
            <w:r>
              <w:rPr>
                <w:rFonts w:ascii="仿宋_GB2312" w:hAnsi="仿宋_GB2312" w:cs="仿宋_GB2312" w:eastAsia="仿宋_GB2312"/>
                <w:sz w:val="20"/>
                <w:b/>
                <w:color w:val="000000"/>
              </w:rPr>
              <w:t>操作系统兼容性：</w:t>
            </w:r>
            <w:r>
              <w:rPr>
                <w:rFonts w:ascii="仿宋_GB2312" w:hAnsi="仿宋_GB2312" w:cs="仿宋_GB2312" w:eastAsia="仿宋_GB2312"/>
                <w:sz w:val="20"/>
                <w:color w:val="000000"/>
              </w:rPr>
              <w:t>支持银河麒麟、</w:t>
            </w:r>
            <w:r>
              <w:rPr>
                <w:rFonts w:ascii="仿宋_GB2312" w:hAnsi="仿宋_GB2312" w:cs="仿宋_GB2312" w:eastAsia="仿宋_GB2312"/>
                <w:sz w:val="20"/>
                <w:color w:val="000000"/>
              </w:rPr>
              <w:t>UOS等国产操作系统。</w:t>
            </w:r>
          </w:p>
          <w:p>
            <w:pPr>
              <w:pStyle w:val="null3"/>
              <w:ind w:firstLine="402"/>
              <w:jc w:val="both"/>
            </w:pPr>
            <w:r>
              <w:rPr>
                <w:rFonts w:ascii="仿宋_GB2312" w:hAnsi="仿宋_GB2312" w:cs="仿宋_GB2312" w:eastAsia="仿宋_GB2312"/>
                <w:sz w:val="20"/>
                <w:b/>
                <w:color w:val="000000"/>
              </w:rPr>
              <w:t>浏览器兼容性：</w:t>
            </w:r>
            <w:r>
              <w:rPr>
                <w:rFonts w:ascii="仿宋_GB2312" w:hAnsi="仿宋_GB2312" w:cs="仿宋_GB2312" w:eastAsia="仿宋_GB2312"/>
                <w:sz w:val="20"/>
                <w:color w:val="000000"/>
              </w:rPr>
              <w:t>PC端兼容国产浏览器（360、Edge、Firefox），确保不同环境下的良好体验。</w:t>
            </w:r>
          </w:p>
          <w:p>
            <w:pPr>
              <w:pStyle w:val="null3"/>
              <w:ind w:firstLine="402"/>
              <w:jc w:val="both"/>
            </w:pPr>
            <w:r>
              <w:rPr>
                <w:rFonts w:ascii="仿宋_GB2312" w:hAnsi="仿宋_GB2312" w:cs="仿宋_GB2312" w:eastAsia="仿宋_GB2312"/>
                <w:sz w:val="20"/>
                <w:b/>
                <w:color w:val="000000"/>
              </w:rPr>
              <w:t>移动端兼容性：</w:t>
            </w:r>
            <w:r>
              <w:rPr>
                <w:rFonts w:ascii="仿宋_GB2312" w:hAnsi="仿宋_GB2312" w:cs="仿宋_GB2312" w:eastAsia="仿宋_GB2312"/>
                <w:sz w:val="20"/>
                <w:color w:val="000000"/>
              </w:rPr>
              <w:t>适配</w:t>
            </w:r>
            <w:r>
              <w:rPr>
                <w:rFonts w:ascii="仿宋_GB2312" w:hAnsi="仿宋_GB2312" w:cs="仿宋_GB2312" w:eastAsia="仿宋_GB2312"/>
                <w:sz w:val="20"/>
                <w:color w:val="000000"/>
              </w:rPr>
              <w:t>iOS/Android主流设备，支持鸿蒙等国产系统。</w:t>
            </w:r>
          </w:p>
          <w:p>
            <w:pPr>
              <w:pStyle w:val="null3"/>
              <w:numPr>
                <w:ilvl w:val="0"/>
                <w:numId w:val="1"/>
              </w:numPr>
              <w:jc w:val="both"/>
            </w:pPr>
            <w:r>
              <w:rPr>
                <w:rFonts w:ascii="仿宋_GB2312" w:hAnsi="仿宋_GB2312" w:cs="仿宋_GB2312" w:eastAsia="仿宋_GB2312"/>
                <w:sz w:val="20"/>
                <w:b/>
                <w:color w:val="000000"/>
              </w:rPr>
              <w:t>定制化</w:t>
            </w:r>
            <w:r>
              <w:rPr>
                <w:rFonts w:ascii="仿宋_GB2312" w:hAnsi="仿宋_GB2312" w:cs="仿宋_GB2312" w:eastAsia="仿宋_GB2312"/>
                <w:sz w:val="20"/>
                <w:b/>
                <w:color w:val="000000"/>
              </w:rPr>
              <w:t>UI设计</w:t>
            </w:r>
          </w:p>
          <w:p>
            <w:pPr>
              <w:pStyle w:val="null3"/>
              <w:ind w:firstLine="402"/>
              <w:jc w:val="both"/>
            </w:pPr>
            <w:r>
              <w:rPr>
                <w:rFonts w:ascii="仿宋_GB2312" w:hAnsi="仿宋_GB2312" w:cs="仿宋_GB2312" w:eastAsia="仿宋_GB2312"/>
                <w:sz w:val="20"/>
                <w:b/>
                <w:color w:val="000000"/>
              </w:rPr>
              <w:t>界面风格</w:t>
            </w:r>
            <w:r>
              <w:rPr>
                <w:rFonts w:ascii="仿宋_GB2312" w:hAnsi="仿宋_GB2312" w:cs="仿宋_GB2312" w:eastAsia="仿宋_GB2312"/>
                <w:sz w:val="20"/>
                <w:color w:val="000000"/>
              </w:rPr>
              <w:t>：结合政府办公风格，采用简洁大气、模块化布局，保证信息展示清晰、交互体验友好。</w:t>
            </w:r>
          </w:p>
          <w:p>
            <w:pPr>
              <w:pStyle w:val="null3"/>
              <w:ind w:firstLine="402"/>
              <w:jc w:val="both"/>
            </w:pPr>
            <w:r>
              <w:rPr>
                <w:rFonts w:ascii="仿宋_GB2312" w:hAnsi="仿宋_GB2312" w:cs="仿宋_GB2312" w:eastAsia="仿宋_GB2312"/>
                <w:sz w:val="20"/>
                <w:b/>
                <w:color w:val="000000"/>
              </w:rPr>
              <w:t>自适应设计</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PC、移动端多端自适应，确保不同设备的访问体验一致性。</w:t>
            </w:r>
          </w:p>
          <w:p>
            <w:pPr>
              <w:pStyle w:val="null3"/>
              <w:ind w:firstLine="402"/>
              <w:jc w:val="both"/>
            </w:pPr>
            <w:r>
              <w:rPr>
                <w:rFonts w:ascii="仿宋_GB2312" w:hAnsi="仿宋_GB2312" w:cs="仿宋_GB2312" w:eastAsia="仿宋_GB2312"/>
                <w:sz w:val="20"/>
                <w:b/>
                <w:color w:val="000000"/>
              </w:rPr>
              <w:t>高可读性</w:t>
            </w:r>
            <w:r>
              <w:rPr>
                <w:rFonts w:ascii="仿宋_GB2312" w:hAnsi="仿宋_GB2312" w:cs="仿宋_GB2312" w:eastAsia="仿宋_GB2312"/>
                <w:sz w:val="20"/>
                <w:color w:val="000000"/>
              </w:rPr>
              <w:t>：界面字体、配色、交互按钮符合无障碍设计标准，优化可读性和操作便利性。</w:t>
            </w:r>
          </w:p>
          <w:p>
            <w:pPr>
              <w:pStyle w:val="null3"/>
              <w:ind w:firstLine="402"/>
              <w:jc w:val="both"/>
            </w:pPr>
            <w:r>
              <w:rPr>
                <w:rFonts w:ascii="仿宋_GB2312" w:hAnsi="仿宋_GB2312" w:cs="仿宋_GB2312" w:eastAsia="仿宋_GB2312"/>
                <w:sz w:val="20"/>
                <w:b/>
                <w:color w:val="000000"/>
              </w:rPr>
              <w:t>定制化组件</w:t>
            </w:r>
            <w:r>
              <w:rPr>
                <w:rFonts w:ascii="仿宋_GB2312" w:hAnsi="仿宋_GB2312" w:cs="仿宋_GB2312" w:eastAsia="仿宋_GB2312"/>
                <w:sz w:val="20"/>
                <w:color w:val="000000"/>
              </w:rPr>
              <w:t>：针对业务场景提供可视化数据展示、审批流程跟踪、智能提醒等功能模块，提升业务处理效率。</w:t>
            </w:r>
          </w:p>
          <w:p>
            <w:pPr>
              <w:pStyle w:val="null3"/>
              <w:spacing w:before="150" w:after="150"/>
              <w:ind w:firstLine="390"/>
              <w:jc w:val="both"/>
            </w:pPr>
            <w:r>
              <w:rPr>
                <w:rFonts w:ascii="仿宋_GB2312" w:hAnsi="仿宋_GB2312" w:cs="仿宋_GB2312" w:eastAsia="仿宋_GB2312"/>
                <w:sz w:val="20"/>
                <w:b/>
                <w:color w:val="000000"/>
              </w:rPr>
              <w:t>四、</w:t>
            </w:r>
            <w:r>
              <w:rPr>
                <w:rFonts w:ascii="仿宋_GB2312" w:hAnsi="仿宋_GB2312" w:cs="仿宋_GB2312" w:eastAsia="仿宋_GB2312"/>
                <w:sz w:val="20"/>
                <w:b/>
                <w:color w:val="000000"/>
              </w:rPr>
              <w:t>实施要求</w:t>
            </w:r>
          </w:p>
          <w:p>
            <w:pPr>
              <w:pStyle w:val="null3"/>
              <w:numPr>
                <w:ilvl w:val="0"/>
                <w:numId w:val="1"/>
              </w:numPr>
              <w:jc w:val="both"/>
            </w:pPr>
            <w:r>
              <w:rPr>
                <w:rFonts w:ascii="仿宋_GB2312" w:hAnsi="仿宋_GB2312" w:cs="仿宋_GB2312" w:eastAsia="仿宋_GB2312"/>
                <w:sz w:val="20"/>
                <w:b/>
                <w:color w:val="000000"/>
              </w:rPr>
              <w:t>现场管理</w:t>
            </w:r>
          </w:p>
          <w:p>
            <w:pPr>
              <w:pStyle w:val="null3"/>
              <w:ind w:firstLine="388"/>
              <w:jc w:val="both"/>
            </w:pPr>
            <w:r>
              <w:rPr>
                <w:rFonts w:ascii="仿宋_GB2312" w:hAnsi="仿宋_GB2312" w:cs="仿宋_GB2312" w:eastAsia="仿宋_GB2312"/>
                <w:sz w:val="20"/>
                <w:color w:val="000000"/>
              </w:rPr>
              <w:t>为确保项目顺利推进，保障实施质量和进度。现场需提供</w:t>
            </w:r>
            <w:r>
              <w:rPr>
                <w:rFonts w:ascii="仿宋_GB2312" w:hAnsi="仿宋_GB2312" w:cs="仿宋_GB2312" w:eastAsia="仿宋_GB2312"/>
                <w:sz w:val="20"/>
                <w:color w:val="000000"/>
              </w:rPr>
              <w:t>2 名驻场技术人员，负责问题响应及需求沟通。</w:t>
            </w:r>
          </w:p>
          <w:p>
            <w:pPr>
              <w:pStyle w:val="null3"/>
              <w:numPr>
                <w:ilvl w:val="0"/>
                <w:numId w:val="1"/>
              </w:numPr>
              <w:jc w:val="both"/>
            </w:pPr>
            <w:r>
              <w:rPr>
                <w:rFonts w:ascii="仿宋_GB2312" w:hAnsi="仿宋_GB2312" w:cs="仿宋_GB2312" w:eastAsia="仿宋_GB2312"/>
                <w:sz w:val="20"/>
                <w:b/>
                <w:color w:val="000000"/>
              </w:rPr>
              <w:t>进度管理</w:t>
            </w:r>
          </w:p>
          <w:p>
            <w:pPr>
              <w:pStyle w:val="null3"/>
              <w:ind w:firstLine="390"/>
              <w:jc w:val="both"/>
            </w:pPr>
            <w:r>
              <w:rPr>
                <w:rFonts w:ascii="仿宋_GB2312" w:hAnsi="仿宋_GB2312" w:cs="仿宋_GB2312" w:eastAsia="仿宋_GB2312"/>
                <w:sz w:val="20"/>
                <w:b/>
                <w:color w:val="000000"/>
              </w:rPr>
              <w:t>建设周期：</w:t>
            </w:r>
            <w:r>
              <w:rPr>
                <w:rFonts w:ascii="仿宋_GB2312" w:hAnsi="仿宋_GB2312" w:cs="仿宋_GB2312" w:eastAsia="仿宋_GB2312"/>
                <w:sz w:val="20"/>
                <w:color w:val="000000"/>
              </w:rPr>
              <w:t>平台建设周期</w:t>
            </w:r>
            <w:r>
              <w:rPr>
                <w:rFonts w:ascii="仿宋_GB2312" w:hAnsi="仿宋_GB2312" w:cs="仿宋_GB2312" w:eastAsia="仿宋_GB2312"/>
                <w:sz w:val="20"/>
                <w:color w:val="000000"/>
              </w:rPr>
              <w:t>4 周，试运行 4 周，整体工期 8 周。</w:t>
            </w:r>
          </w:p>
          <w:p>
            <w:pPr>
              <w:pStyle w:val="null3"/>
              <w:numPr>
                <w:ilvl w:val="0"/>
                <w:numId w:val="1"/>
              </w:numPr>
              <w:jc w:val="both"/>
            </w:pPr>
            <w:r>
              <w:rPr>
                <w:rFonts w:ascii="仿宋_GB2312" w:hAnsi="仿宋_GB2312" w:cs="仿宋_GB2312" w:eastAsia="仿宋_GB2312"/>
                <w:sz w:val="20"/>
                <w:b/>
                <w:color w:val="000000"/>
              </w:rPr>
              <w:t>风险管理</w:t>
            </w:r>
          </w:p>
          <w:p>
            <w:pPr>
              <w:pStyle w:val="null3"/>
              <w:ind w:firstLine="388"/>
              <w:jc w:val="both"/>
            </w:pPr>
            <w:r>
              <w:rPr>
                <w:rFonts w:ascii="仿宋_GB2312" w:hAnsi="仿宋_GB2312" w:cs="仿宋_GB2312" w:eastAsia="仿宋_GB2312"/>
                <w:sz w:val="20"/>
                <w:color w:val="000000"/>
              </w:rPr>
              <w:t>项目实施需建立完善的风险管理机制，提前识别并预警可能出现的风险，制定应对措施，确保项目稳定推进。技术风险方面，采用成熟技术架构，并对关键模块进行代码评审；进度风险方面，定期召开进度会议，设立应急预案，确保按期交付；数据安全风险方面，建立数据备份机制，采用访问权限控制，保障平台数据安全可靠。</w:t>
            </w:r>
          </w:p>
          <w:p>
            <w:pPr>
              <w:pStyle w:val="null3"/>
              <w:numPr>
                <w:ilvl w:val="0"/>
                <w:numId w:val="1"/>
              </w:numPr>
              <w:jc w:val="both"/>
            </w:pPr>
            <w:r>
              <w:rPr>
                <w:rFonts w:ascii="仿宋_GB2312" w:hAnsi="仿宋_GB2312" w:cs="仿宋_GB2312" w:eastAsia="仿宋_GB2312"/>
                <w:sz w:val="20"/>
                <w:b/>
                <w:color w:val="000000"/>
              </w:rPr>
              <w:t>质量管理</w:t>
            </w:r>
          </w:p>
          <w:p>
            <w:pPr>
              <w:pStyle w:val="null3"/>
              <w:ind w:firstLine="388"/>
              <w:jc w:val="both"/>
            </w:pPr>
            <w:r>
              <w:rPr>
                <w:rFonts w:ascii="仿宋_GB2312" w:hAnsi="仿宋_GB2312" w:cs="仿宋_GB2312" w:eastAsia="仿宋_GB2312"/>
                <w:sz w:val="20"/>
                <w:color w:val="000000"/>
              </w:rPr>
              <w:t>平台须严格遵循编码规范，实施代码审查，确保代码质量可靠。测试管理方面，制定完善的测试方案，涵盖功能测试、性能测试、兼容性测试和安全测试，确保平台稳定、高效运行。</w:t>
            </w:r>
          </w:p>
          <w:p>
            <w:pPr>
              <w:pStyle w:val="null3"/>
              <w:numPr>
                <w:ilvl w:val="0"/>
                <w:numId w:val="1"/>
              </w:numPr>
              <w:jc w:val="both"/>
            </w:pPr>
            <w:r>
              <w:rPr>
                <w:rFonts w:ascii="仿宋_GB2312" w:hAnsi="仿宋_GB2312" w:cs="仿宋_GB2312" w:eastAsia="仿宋_GB2312"/>
                <w:sz w:val="20"/>
                <w:b/>
                <w:color w:val="000000"/>
              </w:rPr>
              <w:t>沟通渠道</w:t>
            </w:r>
          </w:p>
          <w:p>
            <w:pPr>
              <w:pStyle w:val="null3"/>
              <w:ind w:firstLine="388"/>
              <w:jc w:val="both"/>
            </w:pPr>
            <w:r>
              <w:rPr>
                <w:rFonts w:ascii="仿宋_GB2312" w:hAnsi="仿宋_GB2312" w:cs="仿宋_GB2312" w:eastAsia="仿宋_GB2312"/>
                <w:sz w:val="20"/>
                <w:color w:val="000000"/>
              </w:rPr>
              <w:t>建立高效沟通机制，可采用线上会议或线下会议的方式确保各方信息畅通，推动项目顺利实施。</w:t>
            </w:r>
          </w:p>
          <w:p>
            <w:pPr>
              <w:pStyle w:val="null3"/>
              <w:ind w:firstLine="402"/>
              <w:jc w:val="both"/>
            </w:pPr>
            <w:r>
              <w:rPr>
                <w:rFonts w:ascii="仿宋_GB2312" w:hAnsi="仿宋_GB2312" w:cs="仿宋_GB2312" w:eastAsia="仿宋_GB2312"/>
                <w:sz w:val="20"/>
                <w:b/>
                <w:color w:val="000000"/>
              </w:rPr>
              <w:t>固定会议：</w:t>
            </w:r>
            <w:r>
              <w:rPr>
                <w:rFonts w:ascii="仿宋_GB2312" w:hAnsi="仿宋_GB2312" w:cs="仿宋_GB2312" w:eastAsia="仿宋_GB2312"/>
                <w:sz w:val="20"/>
                <w:color w:val="000000"/>
              </w:rPr>
              <w:t>每周召开一次例行项目会议，跟踪进度，协调问题。</w:t>
            </w:r>
          </w:p>
          <w:p>
            <w:pPr>
              <w:pStyle w:val="null3"/>
              <w:ind w:firstLine="402"/>
              <w:jc w:val="both"/>
            </w:pPr>
            <w:r>
              <w:rPr>
                <w:rFonts w:ascii="仿宋_GB2312" w:hAnsi="仿宋_GB2312" w:cs="仿宋_GB2312" w:eastAsia="仿宋_GB2312"/>
                <w:sz w:val="20"/>
                <w:b/>
                <w:color w:val="000000"/>
              </w:rPr>
              <w:t>临时会议：</w:t>
            </w:r>
            <w:r>
              <w:rPr>
                <w:rFonts w:ascii="仿宋_GB2312" w:hAnsi="仿宋_GB2312" w:cs="仿宋_GB2312" w:eastAsia="仿宋_GB2312"/>
                <w:sz w:val="20"/>
                <w:color w:val="000000"/>
              </w:rPr>
              <w:t>针对突发问题或重大变更，及时组织临时会议进行讨论和决策。</w:t>
            </w:r>
          </w:p>
          <w:p>
            <w:pPr>
              <w:pStyle w:val="null3"/>
              <w:spacing w:before="150" w:after="150"/>
              <w:ind w:firstLine="390"/>
              <w:jc w:val="both"/>
            </w:pPr>
            <w:r>
              <w:rPr>
                <w:rFonts w:ascii="仿宋_GB2312" w:hAnsi="仿宋_GB2312" w:cs="仿宋_GB2312" w:eastAsia="仿宋_GB2312"/>
                <w:sz w:val="20"/>
                <w:b/>
                <w:color w:val="000000"/>
              </w:rPr>
              <w:t>五、</w:t>
            </w:r>
            <w:r>
              <w:rPr>
                <w:rFonts w:ascii="仿宋_GB2312" w:hAnsi="仿宋_GB2312" w:cs="仿宋_GB2312" w:eastAsia="仿宋_GB2312"/>
                <w:sz w:val="20"/>
                <w:b/>
                <w:color w:val="000000"/>
              </w:rPr>
              <w:t>验收要求</w:t>
            </w:r>
          </w:p>
          <w:p>
            <w:pPr>
              <w:pStyle w:val="null3"/>
              <w:ind w:firstLine="388"/>
              <w:jc w:val="both"/>
            </w:pPr>
            <w:r>
              <w:rPr>
                <w:rFonts w:ascii="仿宋_GB2312" w:hAnsi="仿宋_GB2312" w:cs="仿宋_GB2312" w:eastAsia="仿宋_GB2312"/>
                <w:sz w:val="20"/>
                <w:color w:val="000000"/>
              </w:rPr>
              <w:t>成交供应商负责在项目用户验收前将项目管理文档、平台各阶段开发文档等组织过程资产汇集成册交付项目单位。</w:t>
            </w:r>
          </w:p>
          <w:p>
            <w:pPr>
              <w:pStyle w:val="null3"/>
              <w:ind w:firstLine="388"/>
              <w:jc w:val="both"/>
            </w:pPr>
            <w:r>
              <w:rPr>
                <w:rFonts w:ascii="仿宋_GB2312" w:hAnsi="仿宋_GB2312" w:cs="仿宋_GB2312" w:eastAsia="仿宋_GB2312"/>
                <w:sz w:val="20"/>
                <w:color w:val="000000"/>
              </w:rPr>
              <w:t>验收材料包含以下内容：</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项目建设方案</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平台架构设计文档</w:t>
            </w:r>
          </w:p>
          <w:p>
            <w:pPr>
              <w:pStyle w:val="null3"/>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数据库设计文档</w:t>
            </w:r>
          </w:p>
          <w:p>
            <w:pPr>
              <w:pStyle w:val="null3"/>
              <w:ind w:firstLine="400"/>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项目实施计划</w:t>
            </w:r>
          </w:p>
          <w:p>
            <w:pPr>
              <w:pStyle w:val="null3"/>
              <w:ind w:firstLine="400"/>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测试报告</w:t>
            </w:r>
          </w:p>
          <w:p>
            <w:pPr>
              <w:pStyle w:val="null3"/>
              <w:ind w:firstLine="400"/>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PC、小程序端用户操作手册</w:t>
            </w:r>
          </w:p>
          <w:p>
            <w:pPr>
              <w:pStyle w:val="null3"/>
              <w:ind w:firstLine="400"/>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培训方案</w:t>
            </w:r>
          </w:p>
          <w:p>
            <w:pPr>
              <w:pStyle w:val="null3"/>
              <w:ind w:firstLine="400"/>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试运行报告</w:t>
            </w:r>
          </w:p>
          <w:p>
            <w:pPr>
              <w:pStyle w:val="null3"/>
              <w:ind w:firstLine="400"/>
              <w:jc w:val="both"/>
            </w:pPr>
            <w:r>
              <w:rPr>
                <w:rFonts w:ascii="仿宋_GB2312" w:hAnsi="仿宋_GB2312" w:cs="仿宋_GB2312" w:eastAsia="仿宋_GB2312"/>
                <w:sz w:val="20"/>
                <w:color w:val="000000"/>
              </w:rPr>
              <w:t>(9)</w:t>
            </w:r>
            <w:r>
              <w:rPr>
                <w:rFonts w:ascii="仿宋_GB2312" w:hAnsi="仿宋_GB2312" w:cs="仿宋_GB2312" w:eastAsia="仿宋_GB2312"/>
                <w:sz w:val="20"/>
                <w:color w:val="000000"/>
              </w:rPr>
              <w:t>项目验收报告</w:t>
            </w:r>
          </w:p>
          <w:p>
            <w:pPr>
              <w:pStyle w:val="null3"/>
              <w:ind w:firstLine="400"/>
              <w:jc w:val="both"/>
            </w:pPr>
            <w:r>
              <w:rPr>
                <w:rFonts w:ascii="仿宋_GB2312" w:hAnsi="仿宋_GB2312" w:cs="仿宋_GB2312" w:eastAsia="仿宋_GB2312"/>
                <w:sz w:val="20"/>
                <w:color w:val="000000"/>
              </w:rPr>
              <w:t>(10)</w:t>
            </w:r>
            <w:r>
              <w:rPr>
                <w:rFonts w:ascii="仿宋_GB2312" w:hAnsi="仿宋_GB2312" w:cs="仿宋_GB2312" w:eastAsia="仿宋_GB2312"/>
                <w:sz w:val="20"/>
                <w:color w:val="000000"/>
              </w:rPr>
              <w:t>运维计划</w:t>
            </w:r>
          </w:p>
          <w:p>
            <w:pPr>
              <w:pStyle w:val="null3"/>
              <w:spacing w:before="150" w:after="150"/>
              <w:ind w:firstLine="390"/>
              <w:jc w:val="both"/>
            </w:pPr>
            <w:r>
              <w:rPr>
                <w:rFonts w:ascii="仿宋_GB2312" w:hAnsi="仿宋_GB2312" w:cs="仿宋_GB2312" w:eastAsia="仿宋_GB2312"/>
                <w:sz w:val="20"/>
                <w:b/>
                <w:color w:val="000000"/>
              </w:rPr>
              <w:t>六、</w:t>
            </w:r>
            <w:r>
              <w:rPr>
                <w:rFonts w:ascii="仿宋_GB2312" w:hAnsi="仿宋_GB2312" w:cs="仿宋_GB2312" w:eastAsia="仿宋_GB2312"/>
                <w:sz w:val="20"/>
                <w:b/>
                <w:color w:val="000000"/>
              </w:rPr>
              <w:t>质量保证及承诺</w:t>
            </w:r>
          </w:p>
          <w:p>
            <w:pPr>
              <w:pStyle w:val="null3"/>
              <w:ind w:firstLine="388"/>
              <w:jc w:val="both"/>
            </w:pPr>
            <w:r>
              <w:rPr>
                <w:rFonts w:ascii="仿宋_GB2312" w:hAnsi="仿宋_GB2312" w:cs="仿宋_GB2312" w:eastAsia="仿宋_GB2312"/>
                <w:sz w:val="20"/>
                <w:color w:val="000000"/>
              </w:rPr>
              <w:t>为确保平台的稳定性、可靠性和安全性，供应商需提供全面的质量保障措施，并作出服务承诺，确保平台长期稳定运行、及时响应维护需求。</w:t>
            </w:r>
          </w:p>
          <w:p>
            <w:pPr>
              <w:pStyle w:val="null3"/>
              <w:numPr>
                <w:ilvl w:val="0"/>
                <w:numId w:val="1"/>
              </w:numPr>
              <w:jc w:val="both"/>
            </w:pPr>
            <w:r>
              <w:rPr>
                <w:rFonts w:ascii="仿宋_GB2312" w:hAnsi="仿宋_GB2312" w:cs="仿宋_GB2312" w:eastAsia="仿宋_GB2312"/>
                <w:sz w:val="20"/>
                <w:b/>
                <w:color w:val="000000"/>
              </w:rPr>
              <w:t>质量保证</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平台开发严格遵循国家及行业相关标准，采用成熟稳定的技术架构，确保平台的安全性、扩展性和兼容性。</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在正式交付前，平台需经过完整的功能测试、性能测试、安全性测试和压力测试，确保平台无重大缺陷，关键功能运行稳定。</w:t>
            </w:r>
          </w:p>
          <w:p>
            <w:pPr>
              <w:pStyle w:val="null3"/>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平台符合信息安全等级保护要求，保障数据存储安全，防止未授权访问和数据泄露。</w:t>
            </w:r>
          </w:p>
          <w:p>
            <w:pPr>
              <w:pStyle w:val="null3"/>
              <w:ind w:firstLine="400"/>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平台应具备高可用性，在试运行期间运行稳定，确保</w:t>
            </w:r>
            <w:r>
              <w:rPr>
                <w:rFonts w:ascii="仿宋_GB2312" w:hAnsi="仿宋_GB2312" w:cs="仿宋_GB2312" w:eastAsia="仿宋_GB2312"/>
                <w:sz w:val="20"/>
                <w:color w:val="000000"/>
              </w:rPr>
              <w:t>99.9%以上的正常运行时间。</w:t>
            </w:r>
          </w:p>
          <w:p>
            <w:pPr>
              <w:pStyle w:val="null3"/>
              <w:numPr>
                <w:ilvl w:val="0"/>
                <w:numId w:val="1"/>
              </w:numPr>
              <w:jc w:val="both"/>
            </w:pPr>
            <w:r>
              <w:rPr>
                <w:rFonts w:ascii="仿宋_GB2312" w:hAnsi="仿宋_GB2312" w:cs="仿宋_GB2312" w:eastAsia="仿宋_GB2312"/>
                <w:sz w:val="20"/>
                <w:b/>
                <w:color w:val="000000"/>
              </w:rPr>
              <w:t>服务承诺</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供应商提供的服务，若发生侵权而产生的一切后果，由其负责采购人保留索赔权力。</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供应商承诺提供本地化运维支持，配备专属技术人员，保障平台运行期间的技术支持和维护。</w:t>
            </w:r>
          </w:p>
          <w:p>
            <w:pPr>
              <w:pStyle w:val="null3"/>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供应商在项目实施期间安排驻场服务，提供技术支持，确保平台按时交付并顺利运行。</w:t>
            </w:r>
          </w:p>
          <w:p>
            <w:pPr>
              <w:pStyle w:val="null3"/>
              <w:ind w:firstLine="400"/>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供应商承诺提供长期培训支持，确保政府各部门及相关单位人员能够熟练使用平台，提高工作效率。</w:t>
            </w:r>
          </w:p>
          <w:p>
            <w:pPr>
              <w:pStyle w:val="null3"/>
              <w:ind w:firstLine="400"/>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在质保期内，如遇平台重大故障或数据异常，供应商应第一时间派遣技术人员到现场排查处理，确保问题快速解决。</w:t>
            </w:r>
          </w:p>
          <w:p>
            <w:pPr>
              <w:pStyle w:val="null3"/>
              <w:numPr>
                <w:ilvl w:val="0"/>
                <w:numId w:val="1"/>
              </w:numPr>
              <w:jc w:val="both"/>
            </w:pPr>
            <w:r>
              <w:rPr>
                <w:rFonts w:ascii="仿宋_GB2312" w:hAnsi="仿宋_GB2312" w:cs="仿宋_GB2312" w:eastAsia="仿宋_GB2312"/>
                <w:sz w:val="20"/>
                <w:b/>
                <w:color w:val="000000"/>
              </w:rPr>
              <w:t>服务时间</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7×24小时远程支持：提供全天候远程技术支持，确保紧急问题能够及时响应。</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本地化现场服务：对于重大平台故障，供应商承诺</w:t>
            </w:r>
            <w:r>
              <w:rPr>
                <w:rFonts w:ascii="仿宋_GB2312" w:hAnsi="仿宋_GB2312" w:cs="仿宋_GB2312" w:eastAsia="仿宋_GB2312"/>
                <w:sz w:val="20"/>
                <w:color w:val="000000"/>
              </w:rPr>
              <w:t>2小时内响应，4小时内派遣技术人员到现场，24小时内完成修复。</w:t>
            </w:r>
          </w:p>
          <w:p>
            <w:pPr>
              <w:pStyle w:val="null3"/>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定期巡检维护：供应商需安排每季度进行一次平台巡检，优化平台性能，排查潜在风险，确保长期稳定运行。</w:t>
            </w:r>
          </w:p>
          <w:p>
            <w:pPr>
              <w:pStyle w:val="null3"/>
              <w:ind w:firstLine="400"/>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问题反馈机制：提供多种反馈渠道（电话、邮件等），确保用户问题能够及时跟踪处理。</w:t>
            </w:r>
          </w:p>
          <w:p>
            <w:pPr>
              <w:pStyle w:val="null3"/>
              <w:spacing w:before="150" w:after="150"/>
              <w:ind w:firstLine="390"/>
              <w:jc w:val="both"/>
            </w:pPr>
            <w:r>
              <w:rPr>
                <w:rFonts w:ascii="仿宋_GB2312" w:hAnsi="仿宋_GB2312" w:cs="仿宋_GB2312" w:eastAsia="仿宋_GB2312"/>
                <w:sz w:val="20"/>
                <w:b/>
                <w:color w:val="000000"/>
              </w:rPr>
              <w:t>七、</w:t>
            </w:r>
            <w:r>
              <w:rPr>
                <w:rFonts w:ascii="仿宋_GB2312" w:hAnsi="仿宋_GB2312" w:cs="仿宋_GB2312" w:eastAsia="仿宋_GB2312"/>
                <w:sz w:val="20"/>
                <w:b/>
                <w:color w:val="000000"/>
              </w:rPr>
              <w:t>支付约定</w:t>
            </w:r>
          </w:p>
          <w:p>
            <w:pPr>
              <w:pStyle w:val="null3"/>
              <w:ind w:firstLine="400"/>
              <w:jc w:val="both"/>
            </w:pPr>
            <w:r>
              <w:rPr>
                <w:rFonts w:ascii="仿宋_GB2312" w:hAnsi="仿宋_GB2312" w:cs="仿宋_GB2312" w:eastAsia="仿宋_GB2312"/>
                <w:sz w:val="20"/>
                <w:color w:val="000000"/>
              </w:rPr>
              <w:t>为确保项目按计划顺利实施，并保障双方权益，项目费用支付安排如下：</w:t>
            </w:r>
          </w:p>
          <w:p>
            <w:pPr>
              <w:pStyle w:val="null3"/>
              <w:ind w:firstLine="402"/>
              <w:jc w:val="both"/>
            </w:pPr>
            <w:r>
              <w:rPr>
                <w:rFonts w:ascii="仿宋_GB2312" w:hAnsi="仿宋_GB2312" w:cs="仿宋_GB2312" w:eastAsia="仿宋_GB2312"/>
                <w:sz w:val="20"/>
                <w:b/>
                <w:color w:val="000000"/>
              </w:rPr>
              <w:t>（</w:t>
            </w:r>
            <w:r>
              <w:rPr>
                <w:rFonts w:ascii="仿宋_GB2312" w:hAnsi="仿宋_GB2312" w:cs="仿宋_GB2312" w:eastAsia="仿宋_GB2312"/>
                <w:sz w:val="20"/>
                <w:b/>
                <w:color w:val="000000"/>
              </w:rPr>
              <w:t>一）</w:t>
            </w:r>
            <w:r>
              <w:rPr>
                <w:rFonts w:ascii="仿宋_GB2312" w:hAnsi="仿宋_GB2312" w:cs="仿宋_GB2312" w:eastAsia="仿宋_GB2312"/>
                <w:sz w:val="20"/>
                <w:b/>
                <w:color w:val="000000"/>
              </w:rPr>
              <w:t>首付款（</w:t>
            </w:r>
            <w:r>
              <w:rPr>
                <w:rFonts w:ascii="仿宋_GB2312" w:hAnsi="仿宋_GB2312" w:cs="仿宋_GB2312" w:eastAsia="仿宋_GB2312"/>
                <w:sz w:val="20"/>
                <w:b/>
                <w:color w:val="000000"/>
              </w:rPr>
              <w:t>50%）</w:t>
            </w:r>
          </w:p>
          <w:p>
            <w:pPr>
              <w:pStyle w:val="null3"/>
              <w:ind w:firstLine="400"/>
              <w:jc w:val="both"/>
            </w:pPr>
            <w:r>
              <w:rPr>
                <w:rFonts w:ascii="仿宋_GB2312" w:hAnsi="仿宋_GB2312" w:cs="仿宋_GB2312" w:eastAsia="仿宋_GB2312"/>
                <w:sz w:val="20"/>
                <w:color w:val="000000"/>
              </w:rPr>
              <w:t>支付时间：合同签订后</w:t>
            </w:r>
            <w:r>
              <w:rPr>
                <w:rFonts w:ascii="仿宋_GB2312" w:hAnsi="仿宋_GB2312" w:cs="仿宋_GB2312" w:eastAsia="仿宋_GB2312"/>
                <w:sz w:val="20"/>
                <w:color w:val="000000"/>
              </w:rPr>
              <w:t>3</w:t>
            </w:r>
            <w:r>
              <w:rPr>
                <w:rFonts w:ascii="仿宋_GB2312" w:hAnsi="仿宋_GB2312" w:cs="仿宋_GB2312" w:eastAsia="仿宋_GB2312"/>
                <w:sz w:val="20"/>
                <w:color w:val="000000"/>
              </w:rPr>
              <w:t>0日内。</w:t>
            </w:r>
          </w:p>
          <w:p>
            <w:pPr>
              <w:pStyle w:val="null3"/>
              <w:ind w:firstLine="400"/>
              <w:jc w:val="both"/>
            </w:pPr>
            <w:r>
              <w:rPr>
                <w:rFonts w:ascii="仿宋_GB2312" w:hAnsi="仿宋_GB2312" w:cs="仿宋_GB2312" w:eastAsia="仿宋_GB2312"/>
                <w:sz w:val="20"/>
                <w:color w:val="000000"/>
              </w:rPr>
              <w:t>支付比例：合同总金额的</w:t>
            </w:r>
            <w:r>
              <w:rPr>
                <w:rFonts w:ascii="仿宋_GB2312" w:hAnsi="仿宋_GB2312" w:cs="仿宋_GB2312" w:eastAsia="仿宋_GB2312"/>
                <w:sz w:val="20"/>
                <w:color w:val="000000"/>
              </w:rPr>
              <w:t>50%。</w:t>
            </w:r>
          </w:p>
          <w:p>
            <w:pPr>
              <w:pStyle w:val="null3"/>
              <w:ind w:firstLine="400"/>
              <w:jc w:val="both"/>
            </w:pPr>
            <w:r>
              <w:rPr>
                <w:rFonts w:ascii="仿宋_GB2312" w:hAnsi="仿宋_GB2312" w:cs="仿宋_GB2312" w:eastAsia="仿宋_GB2312"/>
                <w:sz w:val="20"/>
                <w:color w:val="000000"/>
              </w:rPr>
              <w:t>支付条件：合同正式生效，供应商提供完整的项目实施方案，并完成项目启动准备工作。</w:t>
            </w:r>
          </w:p>
          <w:p>
            <w:pPr>
              <w:pStyle w:val="null3"/>
              <w:ind w:firstLine="402"/>
              <w:jc w:val="both"/>
            </w:pPr>
            <w:r>
              <w:rPr>
                <w:rFonts w:ascii="仿宋_GB2312" w:hAnsi="仿宋_GB2312" w:cs="仿宋_GB2312" w:eastAsia="仿宋_GB2312"/>
                <w:sz w:val="20"/>
                <w:b/>
                <w:color w:val="000000"/>
              </w:rPr>
              <w:t>（</w:t>
            </w:r>
            <w:r>
              <w:rPr>
                <w:rFonts w:ascii="仿宋_GB2312" w:hAnsi="仿宋_GB2312" w:cs="仿宋_GB2312" w:eastAsia="仿宋_GB2312"/>
                <w:sz w:val="20"/>
                <w:b/>
                <w:color w:val="000000"/>
              </w:rPr>
              <w:t>二）</w:t>
            </w:r>
            <w:r>
              <w:rPr>
                <w:rFonts w:ascii="仿宋_GB2312" w:hAnsi="仿宋_GB2312" w:cs="仿宋_GB2312" w:eastAsia="仿宋_GB2312"/>
                <w:sz w:val="20"/>
                <w:b/>
                <w:color w:val="000000"/>
              </w:rPr>
              <w:t>试运行阶段验收款（</w:t>
            </w:r>
            <w:r>
              <w:rPr>
                <w:rFonts w:ascii="仿宋_GB2312" w:hAnsi="仿宋_GB2312" w:cs="仿宋_GB2312" w:eastAsia="仿宋_GB2312"/>
                <w:sz w:val="20"/>
                <w:b/>
                <w:color w:val="000000"/>
              </w:rPr>
              <w:t>40%）</w:t>
            </w:r>
          </w:p>
          <w:p>
            <w:pPr>
              <w:pStyle w:val="null3"/>
              <w:ind w:firstLine="400"/>
              <w:jc w:val="both"/>
            </w:pPr>
            <w:r>
              <w:rPr>
                <w:rFonts w:ascii="仿宋_GB2312" w:hAnsi="仿宋_GB2312" w:cs="仿宋_GB2312" w:eastAsia="仿宋_GB2312"/>
                <w:sz w:val="20"/>
                <w:color w:val="000000"/>
              </w:rPr>
              <w:t>支付时间：项目上线试运行</w:t>
            </w:r>
            <w:r>
              <w:rPr>
                <w:rFonts w:ascii="仿宋_GB2312" w:hAnsi="仿宋_GB2312" w:cs="仿宋_GB2312" w:eastAsia="仿宋_GB2312"/>
                <w:sz w:val="20"/>
                <w:color w:val="000000"/>
              </w:rPr>
              <w:t>3</w:t>
            </w:r>
            <w:r>
              <w:rPr>
                <w:rFonts w:ascii="仿宋_GB2312" w:hAnsi="仿宋_GB2312" w:cs="仿宋_GB2312" w:eastAsia="仿宋_GB2312"/>
                <w:sz w:val="20"/>
                <w:color w:val="000000"/>
              </w:rPr>
              <w:t>0日内。</w:t>
            </w:r>
          </w:p>
          <w:p>
            <w:pPr>
              <w:pStyle w:val="null3"/>
              <w:ind w:firstLine="400"/>
              <w:jc w:val="both"/>
            </w:pPr>
            <w:r>
              <w:rPr>
                <w:rFonts w:ascii="仿宋_GB2312" w:hAnsi="仿宋_GB2312" w:cs="仿宋_GB2312" w:eastAsia="仿宋_GB2312"/>
                <w:sz w:val="20"/>
                <w:color w:val="000000"/>
              </w:rPr>
              <w:t>支付比例：合同总金额的</w:t>
            </w:r>
            <w:r>
              <w:rPr>
                <w:rFonts w:ascii="仿宋_GB2312" w:hAnsi="仿宋_GB2312" w:cs="仿宋_GB2312" w:eastAsia="仿宋_GB2312"/>
                <w:sz w:val="20"/>
                <w:color w:val="000000"/>
              </w:rPr>
              <w:t>40%。</w:t>
            </w:r>
          </w:p>
          <w:p>
            <w:pPr>
              <w:pStyle w:val="null3"/>
              <w:ind w:firstLine="400"/>
              <w:jc w:val="both"/>
            </w:pPr>
            <w:r>
              <w:rPr>
                <w:rFonts w:ascii="仿宋_GB2312" w:hAnsi="仿宋_GB2312" w:cs="仿宋_GB2312" w:eastAsia="仿宋_GB2312"/>
                <w:sz w:val="20"/>
                <w:color w:val="000000"/>
              </w:rPr>
              <w:t>支付条件：平台完成开发部署，并顺利上线进入试运行阶段；用户可正常使用平台，基本功能稳定运行。</w:t>
            </w:r>
          </w:p>
          <w:p>
            <w:pPr>
              <w:pStyle w:val="null3"/>
              <w:ind w:firstLine="402"/>
              <w:jc w:val="both"/>
            </w:pPr>
            <w:r>
              <w:rPr>
                <w:rFonts w:ascii="仿宋_GB2312" w:hAnsi="仿宋_GB2312" w:cs="仿宋_GB2312" w:eastAsia="仿宋_GB2312"/>
                <w:sz w:val="20"/>
                <w:b/>
                <w:color w:val="000000"/>
              </w:rPr>
              <w:t>（</w:t>
            </w:r>
            <w:r>
              <w:rPr>
                <w:rFonts w:ascii="仿宋_GB2312" w:hAnsi="仿宋_GB2312" w:cs="仿宋_GB2312" w:eastAsia="仿宋_GB2312"/>
                <w:sz w:val="20"/>
                <w:b/>
                <w:color w:val="000000"/>
              </w:rPr>
              <w:t>三）</w:t>
            </w:r>
            <w:r>
              <w:rPr>
                <w:rFonts w:ascii="仿宋_GB2312" w:hAnsi="仿宋_GB2312" w:cs="仿宋_GB2312" w:eastAsia="仿宋_GB2312"/>
                <w:sz w:val="20"/>
                <w:b/>
                <w:color w:val="000000"/>
              </w:rPr>
              <w:t>最终验收款（</w:t>
            </w:r>
            <w:r>
              <w:rPr>
                <w:rFonts w:ascii="仿宋_GB2312" w:hAnsi="仿宋_GB2312" w:cs="仿宋_GB2312" w:eastAsia="仿宋_GB2312"/>
                <w:sz w:val="20"/>
                <w:b/>
                <w:color w:val="000000"/>
              </w:rPr>
              <w:t>10%）</w:t>
            </w:r>
          </w:p>
          <w:p>
            <w:pPr>
              <w:pStyle w:val="null3"/>
              <w:ind w:firstLine="400"/>
              <w:jc w:val="both"/>
            </w:pPr>
            <w:r>
              <w:rPr>
                <w:rFonts w:ascii="仿宋_GB2312" w:hAnsi="仿宋_GB2312" w:cs="仿宋_GB2312" w:eastAsia="仿宋_GB2312"/>
                <w:sz w:val="20"/>
                <w:color w:val="000000"/>
              </w:rPr>
              <w:t>支付时间：项目验收通过后</w:t>
            </w:r>
            <w:r>
              <w:rPr>
                <w:rFonts w:ascii="仿宋_GB2312" w:hAnsi="仿宋_GB2312" w:cs="仿宋_GB2312" w:eastAsia="仿宋_GB2312"/>
                <w:sz w:val="20"/>
                <w:color w:val="000000"/>
              </w:rPr>
              <w:t>3</w:t>
            </w:r>
            <w:r>
              <w:rPr>
                <w:rFonts w:ascii="仿宋_GB2312" w:hAnsi="仿宋_GB2312" w:cs="仿宋_GB2312" w:eastAsia="仿宋_GB2312"/>
                <w:sz w:val="20"/>
                <w:color w:val="000000"/>
              </w:rPr>
              <w:t>0日内。</w:t>
            </w:r>
          </w:p>
          <w:p>
            <w:pPr>
              <w:pStyle w:val="null3"/>
              <w:ind w:firstLine="400"/>
              <w:jc w:val="both"/>
            </w:pPr>
            <w:r>
              <w:rPr>
                <w:rFonts w:ascii="仿宋_GB2312" w:hAnsi="仿宋_GB2312" w:cs="仿宋_GB2312" w:eastAsia="仿宋_GB2312"/>
                <w:sz w:val="20"/>
                <w:color w:val="000000"/>
              </w:rPr>
              <w:t>支付比例：合同总金额的</w:t>
            </w:r>
            <w:r>
              <w:rPr>
                <w:rFonts w:ascii="仿宋_GB2312" w:hAnsi="仿宋_GB2312" w:cs="仿宋_GB2312" w:eastAsia="仿宋_GB2312"/>
                <w:sz w:val="20"/>
                <w:color w:val="000000"/>
              </w:rPr>
              <w:t>10%。</w:t>
            </w:r>
          </w:p>
          <w:p>
            <w:pPr>
              <w:pStyle w:val="null3"/>
              <w:ind w:firstLine="400"/>
              <w:jc w:val="both"/>
            </w:pPr>
            <w:r>
              <w:rPr>
                <w:rFonts w:ascii="仿宋_GB2312" w:hAnsi="仿宋_GB2312" w:cs="仿宋_GB2312" w:eastAsia="仿宋_GB2312"/>
                <w:sz w:val="20"/>
                <w:color w:val="000000"/>
              </w:rPr>
              <w:t>支付条件：试运行结束，平台稳定运行，满足所有验收标准并正式交付使用，双方签署最终验收报告。</w:t>
            </w:r>
          </w:p>
          <w:p>
            <w:pPr>
              <w:pStyle w:val="null3"/>
              <w:jc w:val="both"/>
            </w:pPr>
            <w:r>
              <w:rPr>
                <w:rFonts w:ascii="仿宋_GB2312" w:hAnsi="仿宋_GB2312" w:cs="仿宋_GB2312" w:eastAsia="仿宋_GB2312"/>
              </w:rPr>
              <w:t>八</w:t>
            </w:r>
            <w:r>
              <w:rPr>
                <w:rFonts w:ascii="仿宋_GB2312" w:hAnsi="仿宋_GB2312" w:cs="仿宋_GB2312" w:eastAsia="仿宋_GB2312"/>
              </w:rPr>
              <w:t>、违约责任</w:t>
            </w:r>
          </w:p>
          <w:p>
            <w:pPr>
              <w:pStyle w:val="null3"/>
              <w:jc w:val="both"/>
            </w:pPr>
            <w:r>
              <w:rPr>
                <w:rFonts w:ascii="仿宋_GB2312" w:hAnsi="仿宋_GB2312" w:cs="仿宋_GB2312" w:eastAsia="仿宋_GB2312"/>
              </w:rPr>
              <w:t>（</w:t>
            </w:r>
            <w:r>
              <w:rPr>
                <w:rFonts w:ascii="仿宋_GB2312" w:hAnsi="仿宋_GB2312" w:cs="仿宋_GB2312" w:eastAsia="仿宋_GB2312"/>
              </w:rPr>
              <w:t>一）合同中未约定的，按《民法典》中的相关条款执行。</w:t>
            </w:r>
          </w:p>
          <w:p>
            <w:pPr>
              <w:pStyle w:val="null3"/>
              <w:jc w:val="both"/>
            </w:pPr>
            <w:r>
              <w:rPr>
                <w:rFonts w:ascii="仿宋_GB2312" w:hAnsi="仿宋_GB2312" w:cs="仿宋_GB2312" w:eastAsia="仿宋_GB2312"/>
              </w:rPr>
              <w:t>（</w:t>
            </w:r>
            <w:r>
              <w:rPr>
                <w:rFonts w:ascii="仿宋_GB2312" w:hAnsi="仿宋_GB2312" w:cs="仿宋_GB2312" w:eastAsia="仿宋_GB2312"/>
              </w:rPr>
              <w:t>二）未按合同要求提供服务或服务质量不能满足合同要求，甲方应当将乙方违约的情况以及拟釆取的措施以书面形式报监管部门，根据监管部门的处理意见，</w:t>
            </w:r>
            <w:r>
              <w:rPr>
                <w:rFonts w:ascii="仿宋_GB2312" w:hAnsi="仿宋_GB2312" w:cs="仿宋_GB2312" w:eastAsia="仿宋_GB2312"/>
              </w:rPr>
              <w:t>双方对达到合同约定的部分据实结算</w:t>
            </w:r>
            <w:r>
              <w:rPr>
                <w:rFonts w:ascii="仿宋_GB2312" w:hAnsi="仿宋_GB2312" w:cs="仿宋_GB2312" w:eastAsia="仿宋_GB2312"/>
              </w:rPr>
              <w:t>，</w:t>
            </w:r>
            <w:r>
              <w:rPr>
                <w:rFonts w:ascii="仿宋_GB2312" w:hAnsi="仿宋_GB2312" w:cs="仿宋_GB2312" w:eastAsia="仿宋_GB2312"/>
              </w:rPr>
              <w:t>剩余部分乙方不再收取费用</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三）在本合同履行过程中，双方因违约或造成对方经济、社会效益等损失的应当赔偿。</w:t>
            </w:r>
          </w:p>
          <w:p>
            <w:pPr>
              <w:pStyle w:val="null3"/>
              <w:jc w:val="both"/>
            </w:pPr>
            <w:r>
              <w:rPr>
                <w:rFonts w:ascii="仿宋_GB2312" w:hAnsi="仿宋_GB2312" w:cs="仿宋_GB2312" w:eastAsia="仿宋_GB2312"/>
              </w:rPr>
              <w:t>（</w:t>
            </w:r>
            <w:r>
              <w:rPr>
                <w:rFonts w:ascii="仿宋_GB2312" w:hAnsi="仿宋_GB2312" w:cs="仿宋_GB2312" w:eastAsia="仿宋_GB2312"/>
              </w:rPr>
              <w:t>四）甲方无正当理由拒绝接受服务的，需向乙方偿付本合同总价款</w:t>
            </w:r>
            <w:r>
              <w:rPr>
                <w:rFonts w:ascii="仿宋_GB2312" w:hAnsi="仿宋_GB2312" w:cs="仿宋_GB2312" w:eastAsia="仿宋_GB2312"/>
              </w:rPr>
              <w:t>5</w:t>
            </w:r>
            <w:r>
              <w:rPr>
                <w:rFonts w:ascii="仿宋_GB2312" w:hAnsi="仿宋_GB2312" w:cs="仿宋_GB2312" w:eastAsia="仿宋_GB2312"/>
              </w:rPr>
              <w:t xml:space="preserve">  </w:t>
            </w:r>
            <w:r>
              <w:rPr>
                <w:rFonts w:ascii="仿宋_GB2312" w:hAnsi="仿宋_GB2312" w:cs="仿宋_GB2312" w:eastAsia="仿宋_GB2312"/>
              </w:rPr>
              <w:t>%</w:t>
            </w:r>
            <w:r>
              <w:rPr>
                <w:rFonts w:ascii="仿宋_GB2312" w:hAnsi="仿宋_GB2312" w:cs="仿宋_GB2312" w:eastAsia="仿宋_GB2312"/>
              </w:rPr>
              <w:t>的违约金。</w:t>
            </w:r>
          </w:p>
          <w:p>
            <w:pPr>
              <w:pStyle w:val="null3"/>
              <w:jc w:val="both"/>
            </w:pPr>
            <w:r>
              <w:rPr>
                <w:rFonts w:ascii="仿宋_GB2312" w:hAnsi="仿宋_GB2312" w:cs="仿宋_GB2312" w:eastAsia="仿宋_GB2312"/>
              </w:rPr>
              <w:t>（</w:t>
            </w:r>
            <w:r>
              <w:rPr>
                <w:rFonts w:ascii="仿宋_GB2312" w:hAnsi="仿宋_GB2312" w:cs="仿宋_GB2312" w:eastAsia="仿宋_GB2312"/>
              </w:rPr>
              <w:t>五</w:t>
            </w:r>
            <w:r>
              <w:rPr>
                <w:rFonts w:ascii="仿宋_GB2312" w:hAnsi="仿宋_GB2312" w:cs="仿宋_GB2312" w:eastAsia="仿宋_GB2312"/>
              </w:rPr>
              <w:t>）未经甲方同意，乙方不得擅自将本合同服务分包或转包第三方承担。</w:t>
            </w:r>
          </w:p>
          <w:p>
            <w:pPr>
              <w:pStyle w:val="null3"/>
              <w:jc w:val="both"/>
            </w:pPr>
            <w:r>
              <w:rPr>
                <w:rFonts w:ascii="仿宋_GB2312" w:hAnsi="仿宋_GB2312" w:cs="仿宋_GB2312" w:eastAsia="仿宋_GB2312"/>
              </w:rPr>
              <w:t>（</w:t>
            </w:r>
            <w:r>
              <w:rPr>
                <w:rFonts w:ascii="仿宋_GB2312" w:hAnsi="仿宋_GB2312" w:cs="仿宋_GB2312" w:eastAsia="仿宋_GB2312"/>
              </w:rPr>
              <w:t>六</w:t>
            </w:r>
            <w:r>
              <w:rPr>
                <w:rFonts w:ascii="仿宋_GB2312" w:hAnsi="仿宋_GB2312" w:cs="仿宋_GB2312" w:eastAsia="仿宋_GB2312"/>
              </w:rPr>
              <w:t>）本合同中各条款约定的违约金</w:t>
            </w:r>
            <w:r>
              <w:rPr>
                <w:rFonts w:ascii="仿宋_GB2312" w:hAnsi="仿宋_GB2312" w:cs="仿宋_GB2312" w:eastAsia="仿宋_GB2312"/>
              </w:rPr>
              <w:t>，</w:t>
            </w:r>
            <w:r>
              <w:rPr>
                <w:rFonts w:ascii="仿宋_GB2312" w:hAnsi="仿宋_GB2312" w:cs="仿宋_GB2312" w:eastAsia="仿宋_GB2312"/>
              </w:rPr>
              <w:t>经乙方书面确认属实后</w:t>
            </w:r>
            <w:r>
              <w:rPr>
                <w:rFonts w:ascii="仿宋_GB2312" w:hAnsi="仿宋_GB2312" w:cs="仿宋_GB2312" w:eastAsia="仿宋_GB2312"/>
              </w:rPr>
              <w:t>，</w:t>
            </w:r>
            <w:r>
              <w:rPr>
                <w:rFonts w:ascii="仿宋_GB2312" w:hAnsi="仿宋_GB2312" w:cs="仿宋_GB2312" w:eastAsia="仿宋_GB2312"/>
              </w:rPr>
              <w:t>可自甲方未支付款项中直接扣除</w:t>
            </w:r>
            <w:r>
              <w:rPr>
                <w:rFonts w:ascii="仿宋_GB2312" w:hAnsi="仿宋_GB2312" w:cs="仿宋_GB2312" w:eastAsia="仿宋_GB2312"/>
              </w:rPr>
              <w:t>,</w:t>
            </w:r>
            <w:r>
              <w:rPr>
                <w:rFonts w:ascii="仿宋_GB2312" w:hAnsi="仿宋_GB2312" w:cs="仿宋_GB2312" w:eastAsia="仿宋_GB2312"/>
              </w:rPr>
              <w:t>违约金若不能弥补甲方损失的，乙方还应赔偿甲方损失。</w:t>
            </w:r>
          </w:p>
          <w:p>
            <w:pPr>
              <w:pStyle w:val="null3"/>
              <w:jc w:val="both"/>
            </w:pPr>
            <w:r>
              <w:rPr>
                <w:rFonts w:ascii="仿宋_GB2312" w:hAnsi="仿宋_GB2312" w:cs="仿宋_GB2312" w:eastAsia="仿宋_GB2312"/>
              </w:rPr>
              <w:t>（</w:t>
            </w:r>
            <w:r>
              <w:rPr>
                <w:rFonts w:ascii="仿宋_GB2312" w:hAnsi="仿宋_GB2312" w:cs="仿宋_GB2312" w:eastAsia="仿宋_GB2312"/>
              </w:rPr>
              <w:t>七</w:t>
            </w:r>
            <w:r>
              <w:rPr>
                <w:rFonts w:ascii="仿宋_GB2312" w:hAnsi="仿宋_GB2312" w:cs="仿宋_GB2312" w:eastAsia="仿宋_GB2312"/>
              </w:rPr>
              <w:t>）</w:t>
            </w:r>
            <w:r>
              <w:rPr>
                <w:rFonts w:ascii="仿宋_GB2312" w:hAnsi="仿宋_GB2312" w:cs="仿宋_GB2312" w:eastAsia="仿宋_GB2312"/>
              </w:rPr>
              <w:t>乙方提交的服务成果经</w:t>
            </w:r>
            <w:r>
              <w:rPr>
                <w:rFonts w:ascii="仿宋_GB2312" w:hAnsi="仿宋_GB2312" w:cs="仿宋_GB2312" w:eastAsia="仿宋_GB2312"/>
              </w:rPr>
              <w:t xml:space="preserve"> </w:t>
            </w:r>
            <w:r>
              <w:rPr>
                <w:rFonts w:ascii="仿宋_GB2312" w:hAnsi="仿宋_GB2312" w:cs="仿宋_GB2312" w:eastAsia="仿宋_GB2312"/>
              </w:rPr>
              <w:t xml:space="preserve">3  </w:t>
            </w:r>
            <w:r>
              <w:rPr>
                <w:rFonts w:ascii="仿宋_GB2312" w:hAnsi="仿宋_GB2312" w:cs="仿宋_GB2312" w:eastAsia="仿宋_GB2312"/>
              </w:rPr>
              <w:t xml:space="preserve"> </w:t>
            </w:r>
            <w:r>
              <w:rPr>
                <w:rFonts w:ascii="仿宋_GB2312" w:hAnsi="仿宋_GB2312" w:cs="仿宋_GB2312" w:eastAsia="仿宋_GB2312"/>
              </w:rPr>
              <w:t>次（包含</w:t>
            </w:r>
            <w:r>
              <w:rPr>
                <w:rFonts w:ascii="仿宋_GB2312" w:hAnsi="仿宋_GB2312" w:cs="仿宋_GB2312" w:eastAsia="仿宋_GB2312"/>
              </w:rPr>
              <w:t xml:space="preserve"> </w:t>
            </w:r>
            <w:r>
              <w:rPr>
                <w:rFonts w:ascii="仿宋_GB2312" w:hAnsi="仿宋_GB2312" w:cs="仿宋_GB2312" w:eastAsia="仿宋_GB2312"/>
              </w:rPr>
              <w:t>3</w:t>
            </w:r>
            <w:r>
              <w:rPr>
                <w:rFonts w:ascii="仿宋_GB2312" w:hAnsi="仿宋_GB2312" w:cs="仿宋_GB2312" w:eastAsia="仿宋_GB2312"/>
              </w:rPr>
              <w:t xml:space="preserve"> </w:t>
            </w:r>
            <w:r>
              <w:rPr>
                <w:rFonts w:ascii="仿宋_GB2312" w:hAnsi="仿宋_GB2312" w:cs="仿宋_GB2312" w:eastAsia="仿宋_GB2312"/>
              </w:rPr>
              <w:t>次）仍无法</w:t>
            </w:r>
            <w:r>
              <w:rPr>
                <w:rFonts w:ascii="仿宋_GB2312" w:hAnsi="仿宋_GB2312" w:cs="仿宋_GB2312" w:eastAsia="仿宋_GB2312"/>
              </w:rPr>
              <w:t>全部</w:t>
            </w:r>
            <w:r>
              <w:rPr>
                <w:rFonts w:ascii="仿宋_GB2312" w:hAnsi="仿宋_GB2312" w:cs="仿宋_GB2312" w:eastAsia="仿宋_GB2312"/>
              </w:rPr>
              <w:t>通过甲方验收的，</w:t>
            </w:r>
            <w:r>
              <w:rPr>
                <w:rFonts w:ascii="仿宋_GB2312" w:hAnsi="仿宋_GB2312" w:cs="仿宋_GB2312" w:eastAsia="仿宋_GB2312"/>
              </w:rPr>
              <w:t>双方按照验收通过的部分进行结算</w:t>
            </w:r>
            <w:r>
              <w:rPr>
                <w:rFonts w:ascii="仿宋_GB2312" w:hAnsi="仿宋_GB2312" w:cs="仿宋_GB2312" w:eastAsia="仿宋_GB2312"/>
              </w:rPr>
              <w:t>，</w:t>
            </w:r>
            <w:r>
              <w:rPr>
                <w:rFonts w:ascii="仿宋_GB2312" w:hAnsi="仿宋_GB2312" w:cs="仿宋_GB2312" w:eastAsia="仿宋_GB2312"/>
              </w:rPr>
              <w:t>乙方将</w:t>
            </w:r>
            <w:r>
              <w:rPr>
                <w:rFonts w:ascii="仿宋_GB2312" w:hAnsi="仿宋_GB2312" w:cs="仿宋_GB2312" w:eastAsia="仿宋_GB2312"/>
              </w:rPr>
              <w:t>通过部分</w:t>
            </w:r>
            <w:r>
              <w:rPr>
                <w:rFonts w:ascii="仿宋_GB2312" w:hAnsi="仿宋_GB2312" w:cs="仿宋_GB2312" w:eastAsia="仿宋_GB2312"/>
              </w:rPr>
              <w:t>的款项</w:t>
            </w:r>
            <w:r>
              <w:rPr>
                <w:rFonts w:ascii="仿宋_GB2312" w:hAnsi="仿宋_GB2312" w:cs="仿宋_GB2312" w:eastAsia="仿宋_GB2312"/>
              </w:rPr>
              <w:t>退</w:t>
            </w:r>
            <w:r>
              <w:rPr>
                <w:rFonts w:ascii="仿宋_GB2312" w:hAnsi="仿宋_GB2312" w:cs="仿宋_GB2312" w:eastAsia="仿宋_GB2312"/>
              </w:rPr>
              <w:t>回甲方</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八</w:t>
            </w:r>
            <w:r>
              <w:rPr>
                <w:rFonts w:ascii="仿宋_GB2312" w:hAnsi="仿宋_GB2312" w:cs="仿宋_GB2312" w:eastAsia="仿宋_GB2312"/>
              </w:rPr>
              <w:t>）</w:t>
            </w:r>
            <w:r>
              <w:rPr>
                <w:rFonts w:ascii="仿宋_GB2312" w:hAnsi="仿宋_GB2312" w:cs="仿宋_GB2312" w:eastAsia="仿宋_GB2312"/>
              </w:rPr>
              <w:t>乙方保证提交的服务成果不会侵犯第三方的知识产权或任何合法权益，如有第三方就项目服务成果向甲方主张任何权益或赔偿的，全部责任均由乙方承担，如因此导致甲方损失的，乙方应予以赔偿。</w:t>
            </w:r>
            <w:r>
              <w:rPr>
                <w:rFonts w:ascii="仿宋_GB2312" w:hAnsi="仿宋_GB2312" w:cs="仿宋_GB2312" w:eastAsia="仿宋_GB2312"/>
              </w:rPr>
              <w:t>双方确认并同意</w:t>
            </w:r>
            <w:r>
              <w:rPr>
                <w:rFonts w:ascii="仿宋_GB2312" w:hAnsi="仿宋_GB2312" w:cs="仿宋_GB2312" w:eastAsia="仿宋_GB2312"/>
              </w:rPr>
              <w:t>，</w:t>
            </w:r>
            <w:r>
              <w:rPr>
                <w:rFonts w:ascii="仿宋_GB2312" w:hAnsi="仿宋_GB2312" w:cs="仿宋_GB2312" w:eastAsia="仿宋_GB2312"/>
              </w:rPr>
              <w:t>乙方</w:t>
            </w:r>
            <w:r>
              <w:rPr>
                <w:rFonts w:ascii="仿宋_GB2312" w:hAnsi="仿宋_GB2312" w:cs="仿宋_GB2312" w:eastAsia="仿宋_GB2312"/>
              </w:rPr>
              <w:t>的</w:t>
            </w:r>
            <w:r>
              <w:rPr>
                <w:rFonts w:ascii="仿宋_GB2312" w:hAnsi="仿宋_GB2312" w:cs="仿宋_GB2312" w:eastAsia="仿宋_GB2312"/>
              </w:rPr>
              <w:t>总赔偿</w:t>
            </w:r>
            <w:r>
              <w:rPr>
                <w:rFonts w:ascii="仿宋_GB2312" w:hAnsi="仿宋_GB2312" w:cs="仿宋_GB2312" w:eastAsia="仿宋_GB2312"/>
              </w:rPr>
              <w:t>金额</w:t>
            </w:r>
            <w:r>
              <w:rPr>
                <w:rFonts w:ascii="仿宋_GB2312" w:hAnsi="仿宋_GB2312" w:cs="仿宋_GB2312" w:eastAsia="仿宋_GB2312"/>
              </w:rPr>
              <w:t>不超过合同总价款</w:t>
            </w:r>
            <w:r>
              <w:rPr>
                <w:rFonts w:ascii="仿宋_GB2312" w:hAnsi="仿宋_GB2312" w:cs="仿宋_GB2312" w:eastAsia="仿宋_GB2312"/>
              </w:rPr>
              <w:t>。</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九</w:t>
            </w:r>
            <w:r>
              <w:rPr>
                <w:rFonts w:ascii="仿宋_GB2312" w:hAnsi="仿宋_GB2312" w:cs="仿宋_GB2312" w:eastAsia="仿宋_GB2312"/>
                <w:sz w:val="21"/>
                <w:color w:val="000000"/>
              </w:rPr>
              <w:t>）双方拟定的其他条款。</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成交供应商应保证采购人在使用所涉技术方案或其任何一部分技术资料时，免受第三方提出侵犯其专利权、商标权或工业设计权等知识产权的起诉。如果发生诉讼，所有费用和责任由成交供应商承担。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平台建设周期要求8周完成正式上线，其中4周完成功能开发，并达到试运行投产条件；试运行阶段4周。试运行通过后，项目单位对项目进行整体验收，若验收通过则进入正式上线阶段。自验收合格之日起，提供 24 个月运维服务，运维服务费用包含在本次采购预算当中，内容涵盖平台日常运维、故障排查、功能完善及技术支持，保障平台的持续稳定运行。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成交供应商负责在项目用户验收前将项目管理文档、平台各阶段开发文档等组织过程资产汇集成册交付项目单位。 验收材料包含以下内容： (1)项目建设方案 (2)平台架构设计文档 (3)数据库设计文档 (4)项目实施计划 (5)测试报告 (6)PC、小程序端用户操作手册 (7)培训方案 (8)试运行报告 (9)项目验收报告 (10)运维计划</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合同正式生效，供应商提供完整的项目实施方案，并完成项目启动准备工作</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平台完成开发部署，并顺利上线进入试运行阶段；用户可正常使用平台，基本功能稳定运行</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试运行结束，平台稳定运行，满足所有验收标准并正式交付使用，双方签署最终验收报告</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双方在履行合同过程中，若发生争议，可以协商解决。如协商未果，双方向甲方所在地人民法院提起诉讼。乙方如果没有按照本合同约定履行合同，甲方有权终止合同。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供应商需在项目电子化交易系统中按要求填写《投标函》完成承诺并进行电子签章。1、具有独立承担民事责任能力的法人、其他组织或自然人，并出具合法有效的营业执照或事业单位法人证书等国家规定的相关证明，自然人参与的提供其身份证明； 2、财务状况报告：（三种形式的资料提供任何一种即可）1）提供2023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3、税收缴纳证明：提供投标文件截止时间一年内至少一个月的依法缴纳税收的相关凭据（时间以税款所属日期为准、税种须至少包含增值税或企业所得税），凭据应有税务机关或代收机关的公章或业务专用章。依法免税或无须缴纳税收的投标人，应提供相应证明文件； 4、社会保障资金缴纳证明：提供投标文件截止时间一年内至少一个月的社会保障资金缴存单据或社保机构开具的社会保险参保缴费情况证明，单据或证明上应有社保机构或代收机构的公章或业务专用章；（依法不需要缴纳社会保障资金的投标供应商应提供相关证明） 5、具有履行合同所必需的设备和专业技术能力的说明及承诺；（提供相应承诺）6、提供参加本次政府采购活动前三年内在经营活动中没有重大违法记录的书面声明及无不良信用记录查询结果（未被“信用中国”网站（www.creditchina.gov.cn）列入重大税收违法失信主体；不得被“中国执行信息公开网”（zxgk.court.gov.cn）列入失信被执行人名单；不得被“中国政府采购网”（www.ccgp.gov.cn）列入政府采购严重违法失信行为记录名单）；（提供“书面声明”、“信用中国”、“中国执行信息公开网”、“中国政府采购网”相应版块的查询结果截图加盖投标人公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三种形式的资料提供任何一种即可）1）提供2023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法定代表人授权委托书或法人证明</w:t>
            </w:r>
          </w:p>
        </w:tc>
        <w:tc>
          <w:tcPr>
            <w:tcW w:type="dxa" w:w="3322"/>
          </w:tcPr>
          <w:p>
            <w:pPr>
              <w:pStyle w:val="null3"/>
            </w:pPr>
            <w:r>
              <w:rPr>
                <w:rFonts w:ascii="仿宋_GB2312" w:hAnsi="仿宋_GB2312" w:cs="仿宋_GB2312" w:eastAsia="仿宋_GB2312"/>
              </w:rPr>
              <w:t>法定代表人参加的，须提供本人身份证复印件加盖公章并出示身份证原件；法定代表人授权他人参加的，须提供法定代表人委托授权书原件加盖公章，并出示被授权代表的身份证原件及复印件加盖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投标文件完整且编排有序，投标内容基本完整，无重大错漏；</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投标有效期满足竞争性磋商文件的要求</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带“★模块名称”的为实质性要求，供应商提供的方案内容必须包含，缺少或未提供为未实质性响应磋商文件要求为无效投标。</w:t>
            </w:r>
          </w:p>
        </w:tc>
        <w:tc>
          <w:tcPr>
            <w:tcW w:type="dxa" w:w="3322"/>
          </w:tcPr>
          <w:p>
            <w:pPr>
              <w:pStyle w:val="null3"/>
            </w:pPr>
            <w:r>
              <w:rPr>
                <w:rFonts w:ascii="仿宋_GB2312" w:hAnsi="仿宋_GB2312" w:cs="仿宋_GB2312" w:eastAsia="仿宋_GB2312"/>
              </w:rPr>
              <w:t>带“★模块名称”的为实质性要求，供应商提供的方案内容必须包含，缺少或未提供为未实质性响应磋商文件要求为无效投标。</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供应商应提交的相关资格证明材料.docx 中小企业声明函 残疾人福利性单位声明函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服务需求理解</w:t>
            </w:r>
          </w:p>
        </w:tc>
        <w:tc>
          <w:tcPr>
            <w:tcW w:type="dxa" w:w="2492"/>
          </w:tcPr>
          <w:p>
            <w:pPr>
              <w:pStyle w:val="null3"/>
            </w:pPr>
            <w:r>
              <w:rPr>
                <w:rFonts w:ascii="仿宋_GB2312" w:hAnsi="仿宋_GB2312" w:cs="仿宋_GB2312" w:eastAsia="仿宋_GB2312"/>
              </w:rPr>
              <w:t>应基于对本项目背景、现状、目标以及服务技术需求进行需求理解，需理解透彻、描述详细、符合区政府当前的现状和服务需求。需求理解完整，描述详细合理，完全符合当前安全现状和服务需求的，得4分；整体理解较为合理，描述粗略，基本符合当前安全现状和服务需求的，得3分；需求理解不足，不符合当前安全现状和服务需求的，得2分；未提供方案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应基于项目需求理解，编写项目服务方案，方案设计及保证措施符合实际需求，从方案成熟度、完整性、符合程度等情况进行综合评分；方案完善、工作目标明确、科学合理，实施效果保证措施充分，计20分；有明确方案、可行、措施和各项工作目标、条理性不强，计15分；方案不合理，描述不详细，计10分，未提供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提供详细的服务及设备实施方案，根据各供应商提供的资料，从全面性、可操作性等进行打分，方案合理、可行、全面得10分；方案基本合理可行，但内容不全得7分；方案不完整得3，未提供不计分。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系统演示</w:t>
            </w:r>
          </w:p>
        </w:tc>
        <w:tc>
          <w:tcPr>
            <w:tcW w:type="dxa" w:w="2492"/>
          </w:tcPr>
          <w:p>
            <w:pPr>
              <w:pStyle w:val="null3"/>
            </w:pPr>
            <w:r>
              <w:rPr>
                <w:rFonts w:ascii="仿宋_GB2312" w:hAnsi="仿宋_GB2312" w:cs="仿宋_GB2312" w:eastAsia="仿宋_GB2312"/>
              </w:rPr>
              <w:t>1、对下列演示项进行实物系统操作页面演示并进行说明的，功能介绍完整详细、操作便利快捷，完全满足使用要求的每项最高得2 分；内容基本齐全，功能基本相符，操作性较差的每项得1分；2、使用DEMO、PPT形式演示并进行说明的，功能介绍完整详细、操作便利快捷，完全满足使用要求的每项最高得1分；内容基本齐全，功能基本相符，操作性较差的每项得0.5分；（注：单项功能演示不完整不得分；单项功能演示内容不全的不得分；未提供不得分。） 微信小程序端： （1）首页设计，确保界面数据展示清晰，方便用户操作，可直接查看到用户需要的数据； （2）项目管理功能，包括项目详情查看、查询、进度查看； （3）“我的”板块：待办事项管理、在办事项提醒、消息提醒、超期事项管理等方便用户处理业务操作； PC端(WEB端)： （1）首页及统计分析功能，包含首页、总体报表、项目报表； （2）流程管理功能，确保流程后台可灵活配置、流程事项信息可灵活配置、要件清单配置，可自动生成流程图； （3）项目管理功能，包括增删改查、精准查询、分类查询、分类统计、预警提示、进度管理； 注：演示总时长不超过10分钟，供应商须自备演示环境及工具，演示随评审流程现场另行通知。</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进度及质量控制管理方案1</w:t>
            </w:r>
          </w:p>
        </w:tc>
        <w:tc>
          <w:tcPr>
            <w:tcW w:type="dxa" w:w="2492"/>
          </w:tcPr>
          <w:p>
            <w:pPr>
              <w:pStyle w:val="null3"/>
            </w:pPr>
            <w:r>
              <w:rPr>
                <w:rFonts w:ascii="仿宋_GB2312" w:hAnsi="仿宋_GB2312" w:cs="仿宋_GB2312" w:eastAsia="仿宋_GB2312"/>
              </w:rPr>
              <w:t>有合理的阶段划分，各阶段有明确的工作目标、有可行的时间进度安排；1.方案详细、科学合理、切实可行的，得6分； 2.方案内容一般、合理可行的，得3分； 3.没有按招标文件要求提供方案（或方案被评定为不可行），得1分； 不提供不得分 。</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进度及质量控制管理方案2</w:t>
            </w:r>
          </w:p>
        </w:tc>
        <w:tc>
          <w:tcPr>
            <w:tcW w:type="dxa" w:w="2492"/>
          </w:tcPr>
          <w:p>
            <w:pPr>
              <w:pStyle w:val="null3"/>
            </w:pPr>
            <w:r>
              <w:rPr>
                <w:rFonts w:ascii="仿宋_GB2312" w:hAnsi="仿宋_GB2312" w:cs="仿宋_GB2312" w:eastAsia="仿宋_GB2312"/>
              </w:rPr>
              <w:t>质量管理方面：供应商需制定完善的测试方案，包含但不限于涵盖功能测试、性能测试、兼容性测试和安全测试，确保平台稳定、高效运行。每项内容得2分，最高得8分；每有一项缺项扣2分，每有一项内容存在缺陷扣0.5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风险控制管理方案</w:t>
            </w:r>
          </w:p>
        </w:tc>
        <w:tc>
          <w:tcPr>
            <w:tcW w:type="dxa" w:w="2492"/>
          </w:tcPr>
          <w:p>
            <w:pPr>
              <w:pStyle w:val="null3"/>
            </w:pPr>
            <w:r>
              <w:rPr>
                <w:rFonts w:ascii="仿宋_GB2312" w:hAnsi="仿宋_GB2312" w:cs="仿宋_GB2312" w:eastAsia="仿宋_GB2312"/>
              </w:rPr>
              <w:t>项目实施需建立完善的风险管理机制，提前识别并预警可能出现的风险，制定应对措施，确保项目稳定推进。按其响应程度进行赋分。方案内容至少包含以下内容：1、技术风险方面、2、进度风险方面、3、数据安全风险方面 ；实施方案内容全面，合理可行，符合采购人要求的，得9分:每有一项缺项扣3分，每有一项内容存在缺陷扣1分，未提供不得分。 备注：缺陷是指内容不完整或缺少关键点、非专门针对本项目或不适用本项目特性、对同一问题前后表述不一致、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项目服务团队</w:t>
            </w:r>
          </w:p>
        </w:tc>
        <w:tc>
          <w:tcPr>
            <w:tcW w:type="dxa" w:w="2492"/>
          </w:tcPr>
          <w:p>
            <w:pPr>
              <w:pStyle w:val="null3"/>
            </w:pPr>
            <w:r>
              <w:rPr>
                <w:rFonts w:ascii="仿宋_GB2312" w:hAnsi="仿宋_GB2312" w:cs="仿宋_GB2312" w:eastAsia="仿宋_GB2312"/>
              </w:rPr>
              <w:t>为保障项目质量以及服务的稳定性，投入的后端服务团队需不少于10人，驻场服务人员不少于2人，提供服务团队工作方案，视响应情况横向对比，方案内容完整，具体措施可靠，可操作性强，人员安排科学、合理、完全满足采购需求计6分；方案内容较完整，具体措施可靠性一般、可操作性一般，人员安排基本满足实际需要计4分；方案内容欠缺完整清晰，具体措施较差、可操作性较差，需要优化后才能满足实际需要计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要求提供2021年1月1日以后的类似项目（项目管理类或智能流程类）业绩合同扫描盖章件2份，需提供合同扫描盖章件；每提供一份计2.5分，最高得5分，不提供不得分；（注：合同扫描盖章件至少具备首页、内容页及签字盖章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售后服务及培训1</w:t>
            </w:r>
          </w:p>
        </w:tc>
        <w:tc>
          <w:tcPr>
            <w:tcW w:type="dxa" w:w="2492"/>
          </w:tcPr>
          <w:p>
            <w:pPr>
              <w:pStyle w:val="null3"/>
            </w:pPr>
            <w:r>
              <w:rPr>
                <w:rFonts w:ascii="仿宋_GB2312" w:hAnsi="仿宋_GB2312" w:cs="仿宋_GB2312" w:eastAsia="仿宋_GB2312"/>
              </w:rPr>
              <w:t>售后服务方案详细，有具体可行的售后服务承诺，（包括拟投入售后服务人员配置情况、项目交付用户后出现故障响应时间等），根据响应情况横向对比，方案详细、合理性强、可操作性强计5分；方案较为详细、合理性较好、可操作性较好计3分；方案合理性一般、可操作性一般计1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售后服务及培训2</w:t>
            </w:r>
          </w:p>
        </w:tc>
        <w:tc>
          <w:tcPr>
            <w:tcW w:type="dxa" w:w="2492"/>
          </w:tcPr>
          <w:p>
            <w:pPr>
              <w:pStyle w:val="null3"/>
            </w:pPr>
            <w:r>
              <w:rPr>
                <w:rFonts w:ascii="仿宋_GB2312" w:hAnsi="仿宋_GB2312" w:cs="仿宋_GB2312" w:eastAsia="仿宋_GB2312"/>
              </w:rPr>
              <w:t>提供详尽的培训方案及培训计划，并列出培训的具体内容及方式，保证用户能熟练操作正常使用（包括：培训人数、培训时间、培训内容等），根据响应情况横向对比，方案详细、合理性强、可操作性强计5分；方案较为详细、合理性较好、可操作性较好计3分；方案合理性一般、可操作性一般计1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